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sz w:val="28"/>
          <w:szCs w:val="28"/>
        </w:rPr>
      </w:pPr>
      <w:r>
        <w:rPr>
          <w:rFonts w:hint="eastAsia"/>
          <w:sz w:val="28"/>
          <w:szCs w:val="28"/>
        </w:rPr>
        <w:t>附件</w:t>
      </w:r>
      <w:r>
        <w:rPr>
          <w:sz w:val="28"/>
          <w:szCs w:val="28"/>
        </w:rPr>
        <w:t>4</w:t>
      </w:r>
      <w:r>
        <w:rPr>
          <w:rFonts w:hint="eastAsia"/>
          <w:sz w:val="28"/>
          <w:szCs w:val="28"/>
        </w:rPr>
        <w:t>：</w:t>
      </w:r>
    </w:p>
    <w:p>
      <w:pPr>
        <w:spacing w:line="480" w:lineRule="exact"/>
        <w:rPr>
          <w:b/>
          <w:sz w:val="44"/>
          <w:szCs w:val="44"/>
        </w:rPr>
      </w:pPr>
    </w:p>
    <w:p>
      <w:pPr>
        <w:pStyle w:val="4"/>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tbl>
      <w:tblPr>
        <w:tblStyle w:val="2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7"/>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vAlign w:val="top"/>
          </w:tcPr>
          <w:p>
            <w:pPr>
              <w:widowControl w:val="0"/>
              <w:jc w:val="both"/>
            </w:pPr>
            <w:r>
              <w:rPr>
                <w:rFonts w:hint="eastAsia"/>
              </w:rPr>
              <w:t>项目名称</w:t>
            </w:r>
          </w:p>
        </w:tc>
        <w:tc>
          <w:tcPr>
            <w:tcW w:w="4927" w:type="dxa"/>
            <w:vAlign w:val="center"/>
          </w:tcPr>
          <w:p>
            <w:pPr>
              <w:widowControl w:val="0"/>
              <w:jc w:val="center"/>
              <w:rPr>
                <w:rFonts w:hint="eastAsia" w:eastAsia="微软雅黑"/>
                <w:lang w:val="en-US" w:eastAsia="zh-CN"/>
              </w:rPr>
            </w:pPr>
            <w:r>
              <w:rPr>
                <w:rFonts w:hint="eastAsia" w:ascii="仿宋" w:hAnsi="仿宋" w:eastAsia="仿宋" w:cs="仿宋"/>
                <w:sz w:val="24"/>
                <w:szCs w:val="24"/>
                <w:lang w:val="en-US" w:eastAsia="zh-CN"/>
              </w:rPr>
              <w:t>地方立法主体扩容对高素质法学专业人才的需求研究——基于湖南14个地州市立法机关的实地调研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vAlign w:val="top"/>
          </w:tcPr>
          <w:p>
            <w:pPr>
              <w:widowControl w:val="0"/>
              <w:jc w:val="both"/>
            </w:pPr>
            <w:r>
              <w:rPr>
                <w:rFonts w:hint="eastAsia"/>
              </w:rPr>
              <w:t>项目类别</w:t>
            </w:r>
          </w:p>
        </w:tc>
        <w:tc>
          <w:tcPr>
            <w:tcW w:w="4927" w:type="dxa"/>
            <w:vAlign w:val="top"/>
          </w:tcPr>
          <w:p>
            <w:pPr>
              <w:widowControl w:val="0"/>
              <w:jc w:val="center"/>
            </w:pPr>
            <w:r>
              <w:rPr>
                <w:rFonts w:hint="eastAsia" w:ascii="仿宋" w:hAnsi="仿宋" w:eastAsia="仿宋" w:cs="仿宋"/>
                <w:sz w:val="24"/>
                <w:szCs w:val="24"/>
                <w:lang w:val="en-US" w:eastAsia="zh-CN"/>
              </w:rPr>
              <w:t>创新训练项目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vAlign w:val="top"/>
          </w:tcPr>
          <w:p>
            <w:pPr>
              <w:widowControl w:val="0"/>
              <w:jc w:val="both"/>
            </w:pPr>
            <w:r>
              <w:rPr>
                <w:rFonts w:hint="eastAsia"/>
              </w:rPr>
              <w:t>项目科类</w:t>
            </w:r>
          </w:p>
        </w:tc>
        <w:tc>
          <w:tcPr>
            <w:tcW w:w="4927" w:type="dxa"/>
            <w:vAlign w:val="top"/>
          </w:tcPr>
          <w:p>
            <w:pPr>
              <w:widowControl w:val="0"/>
              <w:jc w:val="center"/>
            </w:pPr>
            <w:r>
              <w:rPr>
                <w:rFonts w:hint="eastAsia" w:ascii="仿宋" w:hAnsi="仿宋" w:eastAsia="仿宋" w:cs="仿宋"/>
                <w:sz w:val="24"/>
                <w:szCs w:val="24"/>
                <w:lang w:val="en-US" w:eastAsia="zh-CN"/>
              </w:rPr>
              <w:t>文科类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trPr>
        <w:tc>
          <w:tcPr>
            <w:tcW w:w="4927" w:type="dxa"/>
            <w:vAlign w:val="top"/>
          </w:tcPr>
          <w:p>
            <w:pPr>
              <w:widowControl w:val="0"/>
              <w:jc w:val="both"/>
            </w:pPr>
            <w:r>
              <w:rPr>
                <w:rFonts w:hint="eastAsia"/>
              </w:rPr>
              <w:t>项目级别</w:t>
            </w:r>
          </w:p>
        </w:tc>
        <w:tc>
          <w:tcPr>
            <w:tcW w:w="4927" w:type="dxa"/>
            <w:vAlign w:val="top"/>
          </w:tcPr>
          <w:p>
            <w:pPr>
              <w:widowControl w:val="0"/>
              <w:jc w:val="center"/>
              <w:rPr>
                <w:rFonts w:eastAsia="楷体_GB2312"/>
                <w:sz w:val="44"/>
                <w:szCs w:val="44"/>
              </w:rPr>
            </w:pPr>
            <w:r>
              <w:rPr>
                <w:rFonts w:hint="eastAsia" w:ascii="仿宋" w:hAnsi="仿宋" w:eastAsia="仿宋" w:cs="仿宋"/>
                <w:sz w:val="24"/>
                <w:szCs w:val="24"/>
                <w:lang w:val="en-US" w:eastAsia="zh-CN"/>
              </w:rPr>
              <w:t>省部级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vAlign w:val="top"/>
          </w:tcPr>
          <w:p>
            <w:pPr>
              <w:widowControl w:val="0"/>
              <w:jc w:val="both"/>
            </w:pPr>
            <w:r>
              <w:rPr>
                <w:rFonts w:hint="eastAsia"/>
              </w:rPr>
              <w:t>项目主持人</w:t>
            </w:r>
          </w:p>
        </w:tc>
        <w:tc>
          <w:tcPr>
            <w:tcW w:w="4927" w:type="dxa"/>
            <w:vAlign w:val="top"/>
          </w:tcPr>
          <w:p>
            <w:pPr>
              <w:widowControl w:val="0"/>
              <w:jc w:val="center"/>
              <w:rPr>
                <w:rFonts w:hint="eastAsia" w:eastAsia="微软雅黑"/>
                <w:lang w:eastAsia="zh-CN"/>
              </w:rPr>
            </w:pPr>
            <w:r>
              <w:rPr>
                <w:rFonts w:hint="eastAsia" w:ascii="仿宋" w:hAnsi="仿宋" w:eastAsia="仿宋" w:cs="仿宋"/>
                <w:sz w:val="24"/>
                <w:szCs w:val="24"/>
                <w:lang w:val="en-US" w:eastAsia="zh-CN"/>
              </w:rPr>
              <w:t>万川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vAlign w:val="top"/>
          </w:tcPr>
          <w:p>
            <w:pPr>
              <w:widowControl w:val="0"/>
              <w:jc w:val="both"/>
            </w:pPr>
            <w:r>
              <w:rPr>
                <w:rFonts w:hint="eastAsia"/>
              </w:rPr>
              <w:t>学生所在学院</w:t>
            </w:r>
          </w:p>
        </w:tc>
        <w:tc>
          <w:tcPr>
            <w:tcW w:w="4927" w:type="dxa"/>
            <w:vAlign w:val="top"/>
          </w:tcPr>
          <w:p>
            <w:pPr>
              <w:widowControl w:val="0"/>
              <w:jc w:val="center"/>
              <w:rPr>
                <w:rFonts w:hint="eastAsia" w:eastAsia="微软雅黑"/>
                <w:lang w:eastAsia="zh-CN"/>
              </w:rPr>
            </w:pPr>
            <w:r>
              <w:rPr>
                <w:rFonts w:hint="eastAsia" w:ascii="仿宋" w:hAnsi="仿宋" w:eastAsia="仿宋" w:cs="仿宋"/>
                <w:sz w:val="24"/>
                <w:szCs w:val="24"/>
                <w:lang w:val="en-US" w:eastAsia="zh-CN"/>
              </w:rPr>
              <w:t>法学院·知识产权学院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vAlign w:val="top"/>
          </w:tcPr>
          <w:p>
            <w:pPr>
              <w:widowControl w:val="0"/>
              <w:jc w:val="both"/>
            </w:pPr>
            <w:r>
              <w:rPr>
                <w:rFonts w:hint="eastAsia"/>
              </w:rPr>
              <w:t>专业班级</w:t>
            </w:r>
          </w:p>
        </w:tc>
        <w:tc>
          <w:tcPr>
            <w:tcW w:w="4927" w:type="dxa"/>
            <w:vAlign w:val="top"/>
          </w:tcPr>
          <w:p>
            <w:pPr>
              <w:widowControl w:val="0"/>
              <w:jc w:val="center"/>
              <w:rPr>
                <w:rFonts w:hint="eastAsia" w:eastAsia="微软雅黑"/>
                <w:lang w:val="en-US" w:eastAsia="zh-CN"/>
              </w:rPr>
            </w:pPr>
            <w:r>
              <w:rPr>
                <w:rFonts w:hint="eastAsia" w:ascii="仿宋" w:hAnsi="仿宋" w:eastAsia="仿宋" w:cs="仿宋"/>
                <w:sz w:val="24"/>
                <w:szCs w:val="24"/>
                <w:lang w:val="en-US" w:eastAsia="zh-CN"/>
              </w:rPr>
              <w:t>16级法学一班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vAlign w:val="top"/>
          </w:tcPr>
          <w:p>
            <w:pPr>
              <w:widowControl w:val="0"/>
              <w:jc w:val="both"/>
            </w:pPr>
            <w:r>
              <w:rPr>
                <w:rFonts w:hint="eastAsia"/>
              </w:rPr>
              <w:t>联系电话</w:t>
            </w:r>
          </w:p>
        </w:tc>
        <w:tc>
          <w:tcPr>
            <w:tcW w:w="4927" w:type="dxa"/>
            <w:vAlign w:val="top"/>
          </w:tcPr>
          <w:p>
            <w:pPr>
              <w:widowControl w:val="0"/>
              <w:jc w:val="center"/>
              <w:rPr>
                <w:rFonts w:hint="eastAsia" w:eastAsia="微软雅黑"/>
                <w:lang w:val="en-US" w:eastAsia="zh-CN"/>
              </w:rPr>
            </w:pPr>
            <w:r>
              <w:rPr>
                <w:rFonts w:hint="eastAsia" w:ascii="仿宋" w:hAnsi="仿宋" w:eastAsia="仿宋" w:cs="仿宋"/>
                <w:sz w:val="24"/>
                <w:szCs w:val="24"/>
                <w:lang w:val="en-US" w:eastAsia="zh-CN"/>
              </w:rPr>
              <w:t>13874988095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vAlign w:val="top"/>
          </w:tcPr>
          <w:p>
            <w:pPr>
              <w:widowControl w:val="0"/>
              <w:jc w:val="both"/>
            </w:pPr>
            <w:r>
              <w:rPr>
                <w:rFonts w:hint="eastAsia"/>
              </w:rPr>
              <w:t>指导老师</w:t>
            </w:r>
          </w:p>
        </w:tc>
        <w:tc>
          <w:tcPr>
            <w:tcW w:w="4927" w:type="dxa"/>
            <w:vAlign w:val="top"/>
          </w:tcPr>
          <w:p>
            <w:pPr>
              <w:widowControl w:val="0"/>
              <w:jc w:val="center"/>
              <w:rPr>
                <w:rFonts w:hint="eastAsia" w:eastAsia="微软雅黑"/>
                <w:lang w:eastAsia="zh-CN"/>
              </w:rPr>
            </w:pPr>
            <w:r>
              <w:rPr>
                <w:rFonts w:hint="eastAsia" w:ascii="仿宋" w:hAnsi="仿宋" w:eastAsia="仿宋" w:cs="仿宋"/>
                <w:sz w:val="24"/>
                <w:szCs w:val="24"/>
                <w:lang w:val="en-US" w:eastAsia="zh-CN"/>
              </w:rPr>
              <w:t>张义清教授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vAlign w:val="top"/>
          </w:tcPr>
          <w:p>
            <w:pPr>
              <w:widowControl w:val="0"/>
              <w:jc w:val="both"/>
              <w:rPr>
                <w:rFonts w:hint="eastAsia" w:ascii="仿宋" w:hAnsi="仿宋" w:eastAsia="仿宋" w:cs="仿宋"/>
                <w:sz w:val="24"/>
                <w:szCs w:val="24"/>
                <w:lang w:val="en-US" w:eastAsia="zh-CN"/>
              </w:rPr>
            </w:pPr>
            <w:r>
              <w:rPr>
                <w:rFonts w:hint="eastAsia"/>
                <w:lang w:val="en-US" w:eastAsia="zh-CN"/>
              </w:rPr>
              <w:t>填表日期</w:t>
            </w:r>
          </w:p>
        </w:tc>
        <w:tc>
          <w:tcPr>
            <w:tcW w:w="4927" w:type="dxa"/>
            <w:vAlign w:val="top"/>
          </w:tcPr>
          <w:p>
            <w:pPr>
              <w:widowControl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2018年3月12日</w:t>
            </w:r>
          </w:p>
        </w:tc>
      </w:tr>
    </w:tbl>
    <w:p/>
    <w:p/>
    <w:p>
      <w:pPr>
        <w:jc w:val="center"/>
        <w:rPr>
          <w:b/>
          <w:sz w:val="28"/>
        </w:rPr>
      </w:pPr>
      <w:r>
        <w:rPr>
          <w:b/>
          <w:sz w:val="28"/>
        </w:rPr>
        <w:t xml:space="preserve">      </w:t>
      </w:r>
    </w:p>
    <w:p>
      <w:pPr>
        <w:jc w:val="center"/>
        <w:rPr>
          <w:b/>
          <w:sz w:val="28"/>
        </w:rPr>
      </w:pPr>
    </w:p>
    <w:p>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pPr>
        <w:rPr>
          <w:rFonts w:eastAsia="仿宋_GB2312"/>
        </w:rPr>
      </w:pPr>
      <w:r>
        <w:rPr>
          <w:rFonts w:eastAsia="仿宋_GB2312"/>
        </w:rPr>
        <w:br w:type="page"/>
      </w:r>
    </w:p>
    <w:p>
      <w:pPr>
        <w:rPr>
          <w:rFonts w:eastAsia="仿宋_GB2312"/>
        </w:rPr>
      </w:pPr>
    </w:p>
    <w:p>
      <w:pPr>
        <w:jc w:val="center"/>
        <w:rPr>
          <w:rFonts w:eastAsia="黑体"/>
          <w:spacing w:val="32"/>
          <w:sz w:val="36"/>
        </w:rPr>
      </w:pPr>
      <w:r>
        <w:rPr>
          <w:rFonts w:hint="eastAsia" w:eastAsia="黑体"/>
          <w:spacing w:val="32"/>
          <w:sz w:val="36"/>
        </w:rPr>
        <w:t>填　写　说　明</w:t>
      </w:r>
    </w:p>
    <w:p>
      <w:pPr>
        <w:jc w:val="center"/>
        <w:rPr>
          <w:rFonts w:eastAsia="黑体"/>
          <w:sz w:val="36"/>
        </w:rPr>
      </w:pPr>
    </w:p>
    <w:p>
      <w:pPr>
        <w:spacing w:line="540" w:lineRule="exact"/>
        <w:ind w:firstLine="560" w:firstLineChars="200"/>
        <w:rPr>
          <w:rFonts w:eastAsia="仿宋_GB2312"/>
          <w:sz w:val="28"/>
        </w:rPr>
      </w:pPr>
      <w:r>
        <w:rPr>
          <w:rFonts w:hint="eastAsia" w:eastAsia="仿宋_GB2312"/>
          <w:sz w:val="28"/>
        </w:rPr>
        <w:t>一、申报书要按要求逐项认真填写，填写内容必须实事求是，表达明确严谨。空缺项要填</w:t>
      </w:r>
      <w:r>
        <w:rPr>
          <w:rFonts w:eastAsia="仿宋_GB2312"/>
          <w:sz w:val="28"/>
        </w:rPr>
        <w:t>“</w:t>
      </w:r>
      <w:r>
        <w:rPr>
          <w:rFonts w:hint="eastAsia" w:eastAsia="仿宋_GB2312"/>
          <w:sz w:val="28"/>
        </w:rPr>
        <w:t>无</w:t>
      </w:r>
      <w:r>
        <w:rPr>
          <w:rFonts w:eastAsia="仿宋_GB2312"/>
          <w:sz w:val="28"/>
        </w:rPr>
        <w:t>”</w:t>
      </w:r>
      <w:r>
        <w:rPr>
          <w:rFonts w:hint="eastAsia" w:eastAsia="仿宋_GB2312"/>
          <w:sz w:val="28"/>
        </w:rPr>
        <w:t>。</w:t>
      </w:r>
    </w:p>
    <w:p>
      <w:pPr>
        <w:spacing w:line="540" w:lineRule="exact"/>
        <w:ind w:firstLine="560" w:firstLineChars="200"/>
        <w:rPr>
          <w:rFonts w:eastAsia="仿宋_GB2312"/>
          <w:sz w:val="28"/>
        </w:rPr>
      </w:pPr>
      <w:r>
        <w:rPr>
          <w:rFonts w:hint="eastAsia" w:eastAsia="仿宋_GB2312"/>
          <w:sz w:val="28"/>
        </w:rPr>
        <w:t>二、创新训练项目是</w:t>
      </w:r>
      <w:r>
        <w:rPr>
          <w:rFonts w:hint="eastAsia" w:eastAsia="仿宋_GB2312"/>
          <w:b/>
          <w:sz w:val="28"/>
        </w:rPr>
        <w:t>本科生个人或团队</w:t>
      </w:r>
      <w:r>
        <w:rPr>
          <w:rFonts w:hint="eastAsia" w:eastAsia="仿宋_GB2312"/>
          <w:sz w:val="28"/>
        </w:rPr>
        <w:t>，在导师指导下，自主完成创新性研究项目设计、研究条件准备和项目实施、研究报告撰写、成果（学术）交流等工作。</w:t>
      </w:r>
    </w:p>
    <w:p>
      <w:pPr>
        <w:spacing w:line="540" w:lineRule="exact"/>
        <w:ind w:firstLine="560" w:firstLineChars="200"/>
        <w:rPr>
          <w:rFonts w:eastAsia="仿宋_GB2312"/>
          <w:sz w:val="28"/>
        </w:rPr>
      </w:pPr>
      <w:r>
        <w:rPr>
          <w:rFonts w:hint="eastAsia" w:eastAsia="仿宋_GB2312"/>
          <w:sz w:val="28"/>
        </w:rPr>
        <w:t>创业训练项目是</w:t>
      </w:r>
      <w:r>
        <w:rPr>
          <w:rFonts w:hint="eastAsia" w:eastAsia="仿宋_GB2312"/>
          <w:b/>
          <w:sz w:val="28"/>
        </w:rPr>
        <w:t>本科生团队</w:t>
      </w:r>
      <w:r>
        <w:rPr>
          <w:rFonts w:hint="eastAsia" w:eastAsia="仿宋_GB2312"/>
          <w:sz w:val="28"/>
        </w:rPr>
        <w:t>，在导师指导下，团队中每个学生在项目实施过程中扮演一个或多个具体的角色，通过编制商业计划书、开展可行性研究、模拟企业运行、参加企业实践、撰写创业报告等工作。</w:t>
      </w:r>
    </w:p>
    <w:p>
      <w:pPr>
        <w:spacing w:line="540" w:lineRule="exact"/>
        <w:ind w:firstLine="560" w:firstLineChars="200"/>
        <w:rPr>
          <w:rFonts w:eastAsia="仿宋_GB2312"/>
          <w:sz w:val="28"/>
        </w:rPr>
      </w:pPr>
      <w:r>
        <w:rPr>
          <w:rFonts w:hint="eastAsia" w:eastAsia="仿宋_GB2312"/>
          <w:sz w:val="28"/>
        </w:rPr>
        <w:t>三、格式要求：表格中的字体用小四号仿宋体，</w:t>
      </w:r>
      <w:r>
        <w:rPr>
          <w:rFonts w:eastAsia="仿宋_GB2312"/>
          <w:sz w:val="28"/>
        </w:rPr>
        <w:t>1.5</w:t>
      </w:r>
      <w:r>
        <w:rPr>
          <w:rFonts w:hint="eastAsia" w:eastAsia="仿宋_GB2312"/>
          <w:sz w:val="28"/>
        </w:rPr>
        <w:t>倍行距；需签字部分由相关人员以黑色钢笔或水笔签名。均用</w:t>
      </w:r>
      <w:r>
        <w:rPr>
          <w:rFonts w:eastAsia="仿宋_GB2312"/>
          <w:sz w:val="28"/>
        </w:rPr>
        <w:t>A4</w:t>
      </w:r>
      <w:r>
        <w:rPr>
          <w:rFonts w:hint="eastAsia" w:eastAsia="仿宋_GB2312"/>
          <w:sz w:val="28"/>
        </w:rPr>
        <w:t>纸双面打印，于左侧装订成册。</w:t>
      </w:r>
    </w:p>
    <w:p>
      <w:pPr>
        <w:spacing w:line="540" w:lineRule="exact"/>
        <w:ind w:firstLine="560" w:firstLineChars="200"/>
        <w:rPr>
          <w:rFonts w:eastAsia="仿宋_GB2312"/>
          <w:sz w:val="28"/>
        </w:rPr>
      </w:pPr>
      <w:r>
        <w:rPr>
          <w:rFonts w:hint="eastAsia" w:eastAsia="仿宋_GB2312"/>
          <w:sz w:val="28"/>
        </w:rPr>
        <w:t>四、申报省部级项目如未获推荐，同意转校级项目的将参与校级项目的遴选。</w:t>
      </w:r>
    </w:p>
    <w:p>
      <w:pPr>
        <w:spacing w:line="540" w:lineRule="exact"/>
        <w:ind w:firstLine="560" w:firstLineChars="200"/>
        <w:rPr>
          <w:rFonts w:eastAsia="仿宋_GB2312"/>
          <w:sz w:val="28"/>
        </w:rPr>
      </w:pPr>
      <w:r>
        <w:rPr>
          <w:rFonts w:hint="eastAsia" w:eastAsia="仿宋_GB2312"/>
          <w:sz w:val="28"/>
        </w:rPr>
        <w:t>五、本页不装订。</w:t>
      </w:r>
    </w:p>
    <w:p>
      <w:pPr>
        <w:spacing w:line="20" w:lineRule="exact"/>
        <w:rPr>
          <w:rFonts w:eastAsia="仿宋_GB2312"/>
        </w:rPr>
      </w:pPr>
      <w:r>
        <w:rPr>
          <w:rFonts w:eastAsia="仿宋_GB2312"/>
          <w:sz w:val="28"/>
          <w:szCs w:val="28"/>
        </w:rPr>
        <w:br w:type="page"/>
      </w:r>
    </w:p>
    <w:tbl>
      <w:tblPr>
        <w:tblStyle w:val="25"/>
        <w:tblW w:w="93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3"/>
        <w:gridCol w:w="1353"/>
        <w:gridCol w:w="450"/>
        <w:gridCol w:w="677"/>
        <w:gridCol w:w="1280"/>
        <w:gridCol w:w="927"/>
        <w:gridCol w:w="1484"/>
        <w:gridCol w:w="1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9366" w:type="dxa"/>
            <w:gridSpan w:val="8"/>
            <w:vAlign w:val="center"/>
          </w:tcPr>
          <w:p>
            <w:pPr>
              <w:spacing w:line="360" w:lineRule="auto"/>
              <w:ind w:left="180"/>
              <w:rPr>
                <w:rFonts w:eastAsia="楷体_GB2312"/>
                <w:sz w:val="28"/>
                <w:szCs w:val="28"/>
              </w:rPr>
            </w:pPr>
            <w:r>
              <w:rPr>
                <w:rFonts w:hint="eastAsia" w:eastAsia="楷体_GB2312"/>
                <w:sz w:val="28"/>
                <w:szCs w:val="28"/>
              </w:rPr>
              <w:t>项目名称：</w:t>
            </w:r>
            <w:r>
              <w:rPr>
                <w:rFonts w:hint="eastAsia" w:ascii="仿宋" w:hAnsi="仿宋" w:eastAsia="仿宋" w:cs="仿宋"/>
                <w:sz w:val="24"/>
                <w:szCs w:val="24"/>
                <w:lang w:val="en-US" w:eastAsia="zh-CN"/>
              </w:rPr>
              <w:t>地方立法主体扩容对高素质法学专业人才的需求研究——基于湖南14个地州市立法机关的实地调研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613" w:type="dxa"/>
            <w:vAlign w:val="center"/>
          </w:tcPr>
          <w:p>
            <w:pPr>
              <w:spacing w:line="360" w:lineRule="auto"/>
              <w:ind w:left="180"/>
              <w:jc w:val="center"/>
              <w:rPr>
                <w:rFonts w:eastAsia="楷体_GB2312"/>
                <w:sz w:val="28"/>
                <w:szCs w:val="28"/>
              </w:rPr>
            </w:pPr>
            <w:r>
              <w:rPr>
                <w:rFonts w:hint="eastAsia" w:eastAsia="楷体_GB2312"/>
                <w:sz w:val="28"/>
                <w:szCs w:val="28"/>
              </w:rPr>
              <w:t>学生姓名</w:t>
            </w:r>
          </w:p>
        </w:tc>
        <w:tc>
          <w:tcPr>
            <w:tcW w:w="1803" w:type="dxa"/>
            <w:gridSpan w:val="2"/>
            <w:vAlign w:val="center"/>
          </w:tcPr>
          <w:p>
            <w:pPr>
              <w:spacing w:line="360" w:lineRule="auto"/>
              <w:jc w:val="center"/>
              <w:rPr>
                <w:rFonts w:eastAsia="楷体_GB2312"/>
                <w:sz w:val="28"/>
                <w:szCs w:val="28"/>
              </w:rPr>
            </w:pPr>
            <w:r>
              <w:rPr>
                <w:rFonts w:hint="eastAsia" w:eastAsia="楷体_GB2312"/>
                <w:sz w:val="28"/>
                <w:szCs w:val="28"/>
              </w:rPr>
              <w:t>学</w:t>
            </w:r>
            <w:r>
              <w:rPr>
                <w:rFonts w:eastAsia="楷体_GB2312"/>
                <w:sz w:val="28"/>
                <w:szCs w:val="28"/>
              </w:rPr>
              <w:t xml:space="preserve">   </w:t>
            </w:r>
            <w:r>
              <w:rPr>
                <w:rFonts w:hint="eastAsia" w:eastAsia="楷体_GB2312"/>
                <w:sz w:val="28"/>
                <w:szCs w:val="28"/>
              </w:rPr>
              <w:t>号</w:t>
            </w:r>
          </w:p>
        </w:tc>
        <w:tc>
          <w:tcPr>
            <w:tcW w:w="1957" w:type="dxa"/>
            <w:gridSpan w:val="2"/>
            <w:vAlign w:val="center"/>
          </w:tcPr>
          <w:p>
            <w:pPr>
              <w:spacing w:line="360" w:lineRule="auto"/>
              <w:jc w:val="center"/>
              <w:rPr>
                <w:rFonts w:eastAsia="楷体_GB2312"/>
                <w:sz w:val="28"/>
                <w:szCs w:val="28"/>
              </w:rPr>
            </w:pPr>
            <w:r>
              <w:rPr>
                <w:rFonts w:hint="eastAsia" w:eastAsia="楷体_GB2312"/>
                <w:sz w:val="28"/>
                <w:szCs w:val="28"/>
              </w:rPr>
              <w:t>专业名称</w:t>
            </w:r>
          </w:p>
        </w:tc>
        <w:tc>
          <w:tcPr>
            <w:tcW w:w="927" w:type="dxa"/>
            <w:vAlign w:val="center"/>
          </w:tcPr>
          <w:p>
            <w:pPr>
              <w:spacing w:line="360" w:lineRule="auto"/>
              <w:jc w:val="center"/>
              <w:rPr>
                <w:rFonts w:eastAsia="楷体_GB2312"/>
                <w:sz w:val="28"/>
                <w:szCs w:val="28"/>
              </w:rPr>
            </w:pPr>
            <w:r>
              <w:rPr>
                <w:rFonts w:hint="eastAsia" w:eastAsia="楷体_GB2312"/>
                <w:sz w:val="28"/>
                <w:szCs w:val="28"/>
              </w:rPr>
              <w:t>性别</w:t>
            </w:r>
          </w:p>
        </w:tc>
        <w:tc>
          <w:tcPr>
            <w:tcW w:w="1484" w:type="dxa"/>
            <w:vAlign w:val="center"/>
          </w:tcPr>
          <w:p>
            <w:pPr>
              <w:spacing w:line="360" w:lineRule="auto"/>
              <w:jc w:val="center"/>
              <w:rPr>
                <w:rFonts w:eastAsia="楷体_GB2312"/>
                <w:sz w:val="28"/>
                <w:szCs w:val="28"/>
              </w:rPr>
            </w:pPr>
            <w:r>
              <w:rPr>
                <w:rFonts w:hint="eastAsia" w:eastAsia="楷体_GB2312"/>
                <w:sz w:val="28"/>
                <w:szCs w:val="28"/>
              </w:rPr>
              <w:t>入学年份</w:t>
            </w:r>
          </w:p>
        </w:tc>
        <w:tc>
          <w:tcPr>
            <w:tcW w:w="1582" w:type="dxa"/>
            <w:vAlign w:val="center"/>
          </w:tcPr>
          <w:p>
            <w:pPr>
              <w:spacing w:line="360" w:lineRule="auto"/>
              <w:jc w:val="center"/>
              <w:rPr>
                <w:rFonts w:eastAsia="楷体_GB2312"/>
                <w:sz w:val="28"/>
                <w:szCs w:val="28"/>
              </w:rPr>
            </w:pPr>
            <w:r>
              <w:rPr>
                <w:rFonts w:hint="eastAsia" w:eastAsia="楷体_GB2312"/>
                <w:sz w:val="28"/>
                <w:szCs w:val="28"/>
              </w:rPr>
              <w:t>签</w:t>
            </w:r>
            <w:r>
              <w:rPr>
                <w:rFonts w:eastAsia="楷体_GB2312"/>
                <w:sz w:val="28"/>
                <w:szCs w:val="28"/>
              </w:rPr>
              <w:t xml:space="preserve"> </w:t>
            </w:r>
            <w:r>
              <w:rPr>
                <w:rFonts w:hint="eastAsia" w:eastAsia="楷体_GB2312"/>
                <w:sz w:val="28"/>
                <w:szCs w:val="28"/>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613" w:type="dxa"/>
            <w:vAlign w:val="center"/>
          </w:tcPr>
          <w:p>
            <w:pPr>
              <w:spacing w:line="360" w:lineRule="auto"/>
              <w:ind w:left="180"/>
              <w:jc w:val="center"/>
              <w:rPr>
                <w:rFonts w:hint="eastAsia" w:eastAsia="楷体_GB2312"/>
                <w:sz w:val="28"/>
                <w:szCs w:val="28"/>
                <w:lang w:eastAsia="zh-CN"/>
              </w:rPr>
            </w:pPr>
            <w:r>
              <w:rPr>
                <w:rFonts w:hint="eastAsia" w:ascii="仿宋" w:hAnsi="仿宋" w:eastAsia="仿宋" w:cs="仿宋"/>
                <w:sz w:val="24"/>
                <w:szCs w:val="24"/>
                <w:lang w:val="en-US" w:eastAsia="zh-CN"/>
              </w:rPr>
              <w:t>万  川</w:t>
            </w:r>
          </w:p>
        </w:tc>
        <w:tc>
          <w:tcPr>
            <w:tcW w:w="1803" w:type="dxa"/>
            <w:gridSpan w:val="2"/>
            <w:vAlign w:val="center"/>
          </w:tcPr>
          <w:p>
            <w:pPr>
              <w:spacing w:line="360" w:lineRule="auto"/>
              <w:jc w:val="center"/>
              <w:rPr>
                <w:rFonts w:hint="eastAsia" w:eastAsia="楷体_GB2312"/>
                <w:sz w:val="28"/>
                <w:szCs w:val="28"/>
                <w:lang w:val="en-US" w:eastAsia="zh-CN"/>
              </w:rPr>
            </w:pPr>
            <w:r>
              <w:rPr>
                <w:rFonts w:hint="eastAsia" w:ascii="仿宋" w:hAnsi="仿宋" w:eastAsia="仿宋" w:cs="仿宋"/>
                <w:sz w:val="24"/>
                <w:szCs w:val="24"/>
                <w:lang w:val="en-US" w:eastAsia="zh-CN"/>
              </w:rPr>
              <w:t>2016250712</w:t>
            </w:r>
          </w:p>
        </w:tc>
        <w:tc>
          <w:tcPr>
            <w:tcW w:w="1957" w:type="dxa"/>
            <w:gridSpan w:val="2"/>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法学/金融学</w:t>
            </w:r>
          </w:p>
        </w:tc>
        <w:tc>
          <w:tcPr>
            <w:tcW w:w="927" w:type="dxa"/>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男</w:t>
            </w:r>
          </w:p>
        </w:tc>
        <w:tc>
          <w:tcPr>
            <w:tcW w:w="1484" w:type="dxa"/>
            <w:vAlign w:val="center"/>
          </w:tcPr>
          <w:p>
            <w:pPr>
              <w:spacing w:line="360" w:lineRule="auto"/>
              <w:jc w:val="center"/>
              <w:rPr>
                <w:rFonts w:hint="eastAsia" w:eastAsia="楷体_GB2312"/>
                <w:sz w:val="28"/>
                <w:szCs w:val="28"/>
                <w:lang w:val="en-US" w:eastAsia="zh-CN"/>
              </w:rPr>
            </w:pPr>
            <w:r>
              <w:rPr>
                <w:rFonts w:hint="eastAsia" w:ascii="仿宋" w:hAnsi="仿宋" w:eastAsia="仿宋" w:cs="仿宋"/>
                <w:sz w:val="24"/>
                <w:szCs w:val="24"/>
                <w:lang w:val="en-US" w:eastAsia="zh-CN"/>
              </w:rPr>
              <w:t xml:space="preserve">2016 </w:t>
            </w:r>
          </w:p>
        </w:tc>
        <w:tc>
          <w:tcPr>
            <w:tcW w:w="1582" w:type="dxa"/>
            <w:vAlign w:val="center"/>
          </w:tcPr>
          <w:p>
            <w:pPr>
              <w:spacing w:line="360" w:lineRule="auto"/>
              <w:jc w:val="center"/>
              <w:rPr>
                <w:rFonts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exact"/>
          <w:jc w:val="center"/>
        </w:trPr>
        <w:tc>
          <w:tcPr>
            <w:tcW w:w="1613" w:type="dxa"/>
            <w:vAlign w:val="center"/>
          </w:tcPr>
          <w:p>
            <w:pPr>
              <w:spacing w:line="360" w:lineRule="auto"/>
              <w:ind w:left="180"/>
              <w:jc w:val="center"/>
              <w:rPr>
                <w:rFonts w:hint="eastAsia" w:eastAsia="楷体_GB2312"/>
                <w:sz w:val="28"/>
                <w:szCs w:val="28"/>
                <w:lang w:val="en-US" w:eastAsia="zh-CN"/>
              </w:rPr>
            </w:pPr>
            <w:r>
              <w:rPr>
                <w:rFonts w:hint="eastAsia" w:ascii="仿宋" w:hAnsi="仿宋" w:eastAsia="仿宋" w:cs="仿宋"/>
                <w:sz w:val="24"/>
                <w:szCs w:val="24"/>
                <w:lang w:val="en-US" w:eastAsia="zh-CN"/>
              </w:rPr>
              <w:t>刘泽千</w:t>
            </w:r>
          </w:p>
        </w:tc>
        <w:tc>
          <w:tcPr>
            <w:tcW w:w="1803" w:type="dxa"/>
            <w:gridSpan w:val="2"/>
            <w:vAlign w:val="center"/>
          </w:tcPr>
          <w:p>
            <w:pPr>
              <w:spacing w:line="360" w:lineRule="auto"/>
              <w:jc w:val="center"/>
              <w:rPr>
                <w:rFonts w:hint="eastAsia" w:eastAsia="楷体_GB2312"/>
                <w:sz w:val="28"/>
                <w:szCs w:val="28"/>
                <w:lang w:val="en-US" w:eastAsia="zh-CN"/>
              </w:rPr>
            </w:pPr>
            <w:r>
              <w:rPr>
                <w:rFonts w:hint="eastAsia" w:ascii="仿宋" w:hAnsi="仿宋" w:eastAsia="仿宋" w:cs="仿宋"/>
                <w:sz w:val="24"/>
                <w:szCs w:val="24"/>
                <w:lang w:val="en-US" w:eastAsia="zh-CN"/>
              </w:rPr>
              <w:t>2016310609</w:t>
            </w:r>
          </w:p>
        </w:tc>
        <w:tc>
          <w:tcPr>
            <w:tcW w:w="1957" w:type="dxa"/>
            <w:gridSpan w:val="2"/>
            <w:vAlign w:val="center"/>
          </w:tcPr>
          <w:p>
            <w:pPr>
              <w:spacing w:line="360" w:lineRule="auto"/>
              <w:jc w:val="center"/>
              <w:rPr>
                <w:rFonts w:hint="eastAsia" w:eastAsia="楷体_GB2312"/>
                <w:sz w:val="28"/>
                <w:szCs w:val="28"/>
                <w:lang w:val="en-US" w:eastAsia="zh-CN"/>
              </w:rPr>
            </w:pPr>
            <w:r>
              <w:rPr>
                <w:rFonts w:hint="eastAsia" w:ascii="仿宋" w:hAnsi="仿宋" w:eastAsia="仿宋" w:cs="仿宋"/>
                <w:sz w:val="24"/>
                <w:szCs w:val="24"/>
                <w:lang w:val="en-US" w:eastAsia="zh-CN"/>
              </w:rPr>
              <w:t>法学</w:t>
            </w:r>
          </w:p>
        </w:tc>
        <w:tc>
          <w:tcPr>
            <w:tcW w:w="927" w:type="dxa"/>
            <w:vAlign w:val="center"/>
          </w:tcPr>
          <w:p>
            <w:pPr>
              <w:spacing w:line="360" w:lineRule="auto"/>
              <w:jc w:val="center"/>
              <w:rPr>
                <w:rFonts w:hint="eastAsia" w:eastAsia="楷体_GB2312"/>
                <w:sz w:val="28"/>
                <w:szCs w:val="28"/>
                <w:lang w:val="en-US" w:eastAsia="zh-CN"/>
              </w:rPr>
            </w:pPr>
            <w:r>
              <w:rPr>
                <w:rFonts w:hint="eastAsia" w:ascii="仿宋" w:hAnsi="仿宋" w:eastAsia="仿宋" w:cs="仿宋"/>
                <w:sz w:val="24"/>
                <w:szCs w:val="24"/>
                <w:lang w:val="en-US" w:eastAsia="zh-CN"/>
              </w:rPr>
              <w:t>男</w:t>
            </w:r>
          </w:p>
        </w:tc>
        <w:tc>
          <w:tcPr>
            <w:tcW w:w="1484" w:type="dxa"/>
            <w:vAlign w:val="center"/>
          </w:tcPr>
          <w:p>
            <w:pPr>
              <w:spacing w:line="360" w:lineRule="auto"/>
              <w:jc w:val="center"/>
              <w:rPr>
                <w:rFonts w:hint="eastAsia" w:eastAsia="楷体_GB2312"/>
                <w:sz w:val="28"/>
                <w:szCs w:val="28"/>
                <w:lang w:val="en-US" w:eastAsia="zh-CN"/>
              </w:rPr>
            </w:pPr>
            <w:r>
              <w:rPr>
                <w:rFonts w:hint="eastAsia" w:ascii="仿宋" w:hAnsi="仿宋" w:eastAsia="仿宋" w:cs="仿宋"/>
                <w:sz w:val="24"/>
                <w:szCs w:val="24"/>
                <w:lang w:val="en-US" w:eastAsia="zh-CN"/>
              </w:rPr>
              <w:t>2016</w:t>
            </w:r>
          </w:p>
        </w:tc>
        <w:tc>
          <w:tcPr>
            <w:tcW w:w="1582" w:type="dxa"/>
            <w:vAlign w:val="center"/>
          </w:tcPr>
          <w:p>
            <w:pPr>
              <w:spacing w:line="360" w:lineRule="auto"/>
              <w:jc w:val="center"/>
              <w:rPr>
                <w:rFonts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613" w:type="dxa"/>
            <w:vAlign w:val="center"/>
          </w:tcPr>
          <w:p>
            <w:pPr>
              <w:spacing w:line="360" w:lineRule="auto"/>
              <w:ind w:left="180"/>
              <w:jc w:val="center"/>
              <w:rPr>
                <w:rFonts w:hint="eastAsia" w:eastAsia="楷体_GB2312"/>
                <w:sz w:val="28"/>
                <w:szCs w:val="28"/>
                <w:lang w:val="en-US" w:eastAsia="zh-CN"/>
              </w:rPr>
            </w:pPr>
            <w:r>
              <w:rPr>
                <w:rFonts w:hint="eastAsia" w:ascii="仿宋" w:hAnsi="仿宋" w:eastAsia="仿宋" w:cs="仿宋"/>
                <w:sz w:val="24"/>
                <w:szCs w:val="24"/>
                <w:lang w:val="en-US" w:eastAsia="zh-CN"/>
              </w:rPr>
              <w:t>顾男飞</w:t>
            </w:r>
          </w:p>
        </w:tc>
        <w:tc>
          <w:tcPr>
            <w:tcW w:w="1803" w:type="dxa"/>
            <w:gridSpan w:val="2"/>
            <w:vAlign w:val="center"/>
          </w:tcPr>
          <w:p>
            <w:pPr>
              <w:spacing w:line="360" w:lineRule="auto"/>
              <w:jc w:val="center"/>
              <w:rPr>
                <w:rFonts w:hint="eastAsia" w:eastAsia="楷体_GB2312"/>
                <w:sz w:val="28"/>
                <w:szCs w:val="28"/>
                <w:lang w:val="en-US" w:eastAsia="zh-CN"/>
              </w:rPr>
            </w:pPr>
            <w:r>
              <w:rPr>
                <w:rFonts w:hint="eastAsia" w:ascii="仿宋" w:hAnsi="仿宋" w:eastAsia="仿宋" w:cs="仿宋"/>
                <w:sz w:val="24"/>
                <w:szCs w:val="24"/>
                <w:lang w:val="en-US" w:eastAsia="zh-CN"/>
              </w:rPr>
              <w:t>201705250102</w:t>
            </w:r>
          </w:p>
        </w:tc>
        <w:tc>
          <w:tcPr>
            <w:tcW w:w="1957" w:type="dxa"/>
            <w:gridSpan w:val="2"/>
            <w:vAlign w:val="center"/>
          </w:tcPr>
          <w:p>
            <w:pPr>
              <w:spacing w:line="360" w:lineRule="auto"/>
              <w:jc w:val="center"/>
              <w:rPr>
                <w:rFonts w:hint="eastAsia" w:eastAsia="楷体_GB2312"/>
                <w:sz w:val="28"/>
                <w:szCs w:val="28"/>
                <w:lang w:val="en-US" w:eastAsia="zh-CN"/>
              </w:rPr>
            </w:pPr>
            <w:r>
              <w:rPr>
                <w:rFonts w:hint="eastAsia" w:ascii="仿宋" w:hAnsi="仿宋" w:eastAsia="仿宋" w:cs="仿宋"/>
                <w:sz w:val="24"/>
                <w:szCs w:val="24"/>
                <w:lang w:val="en-US" w:eastAsia="zh-CN"/>
              </w:rPr>
              <w:t>知识产权</w:t>
            </w:r>
          </w:p>
        </w:tc>
        <w:tc>
          <w:tcPr>
            <w:tcW w:w="927" w:type="dxa"/>
            <w:vAlign w:val="center"/>
          </w:tcPr>
          <w:p>
            <w:pPr>
              <w:spacing w:line="360" w:lineRule="auto"/>
              <w:jc w:val="center"/>
              <w:rPr>
                <w:rFonts w:hint="eastAsia" w:eastAsia="楷体_GB2312"/>
                <w:sz w:val="28"/>
                <w:szCs w:val="28"/>
                <w:lang w:val="en-US" w:eastAsia="zh-CN"/>
              </w:rPr>
            </w:pPr>
            <w:r>
              <w:rPr>
                <w:rFonts w:hint="eastAsia" w:ascii="仿宋" w:hAnsi="仿宋" w:eastAsia="仿宋" w:cs="仿宋"/>
                <w:sz w:val="24"/>
                <w:szCs w:val="24"/>
                <w:lang w:val="en-US" w:eastAsia="zh-CN"/>
              </w:rPr>
              <w:t>男</w:t>
            </w:r>
          </w:p>
        </w:tc>
        <w:tc>
          <w:tcPr>
            <w:tcW w:w="1484" w:type="dxa"/>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2017</w:t>
            </w:r>
          </w:p>
        </w:tc>
        <w:tc>
          <w:tcPr>
            <w:tcW w:w="1582" w:type="dxa"/>
            <w:vAlign w:val="center"/>
          </w:tcPr>
          <w:p>
            <w:pPr>
              <w:spacing w:line="360" w:lineRule="auto"/>
              <w:jc w:val="center"/>
              <w:rPr>
                <w:rFonts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613" w:type="dxa"/>
            <w:vAlign w:val="center"/>
          </w:tcPr>
          <w:p>
            <w:pPr>
              <w:spacing w:line="360" w:lineRule="auto"/>
              <w:ind w:left="180"/>
              <w:jc w:val="center"/>
              <w:rPr>
                <w:rFonts w:hint="eastAsia" w:eastAsia="楷体_GB2312"/>
                <w:sz w:val="28"/>
                <w:szCs w:val="28"/>
                <w:lang w:val="en-US" w:eastAsia="zh-CN"/>
              </w:rPr>
            </w:pPr>
            <w:r>
              <w:rPr>
                <w:rFonts w:hint="eastAsia" w:ascii="仿宋" w:hAnsi="仿宋" w:eastAsia="仿宋" w:cs="仿宋"/>
                <w:sz w:val="24"/>
                <w:szCs w:val="24"/>
                <w:lang w:val="en-US" w:eastAsia="zh-CN"/>
              </w:rPr>
              <w:t>尤志远</w:t>
            </w:r>
          </w:p>
        </w:tc>
        <w:tc>
          <w:tcPr>
            <w:tcW w:w="1803" w:type="dxa"/>
            <w:gridSpan w:val="2"/>
            <w:vAlign w:val="center"/>
          </w:tcPr>
          <w:p>
            <w:pPr>
              <w:spacing w:line="360" w:lineRule="auto"/>
              <w:jc w:val="center"/>
              <w:rPr>
                <w:rFonts w:hint="eastAsia" w:eastAsia="楷体_GB2312"/>
                <w:sz w:val="28"/>
                <w:szCs w:val="28"/>
                <w:lang w:val="en-US" w:eastAsia="zh-CN"/>
              </w:rPr>
            </w:pPr>
            <w:r>
              <w:rPr>
                <w:rFonts w:hint="eastAsia" w:ascii="仿宋" w:hAnsi="仿宋" w:eastAsia="仿宋" w:cs="仿宋"/>
                <w:sz w:val="24"/>
                <w:szCs w:val="24"/>
                <w:lang w:val="en-US" w:eastAsia="zh-CN"/>
              </w:rPr>
              <w:t>2015190603</w:t>
            </w:r>
          </w:p>
        </w:tc>
        <w:tc>
          <w:tcPr>
            <w:tcW w:w="1957" w:type="dxa"/>
            <w:gridSpan w:val="2"/>
            <w:vAlign w:val="center"/>
          </w:tcPr>
          <w:p>
            <w:pPr>
              <w:spacing w:line="360" w:lineRule="auto"/>
              <w:jc w:val="center"/>
              <w:rPr>
                <w:rFonts w:hint="eastAsia" w:eastAsia="楷体_GB2312"/>
                <w:sz w:val="28"/>
                <w:szCs w:val="28"/>
                <w:lang w:val="en-US" w:eastAsia="zh-CN"/>
              </w:rPr>
            </w:pPr>
            <w:r>
              <w:rPr>
                <w:rFonts w:hint="eastAsia" w:ascii="仿宋" w:hAnsi="仿宋" w:eastAsia="仿宋" w:cs="仿宋"/>
                <w:sz w:val="24"/>
                <w:szCs w:val="24"/>
                <w:lang w:val="en-US" w:eastAsia="zh-CN"/>
              </w:rPr>
              <w:t>行政管理</w:t>
            </w:r>
          </w:p>
        </w:tc>
        <w:tc>
          <w:tcPr>
            <w:tcW w:w="927" w:type="dxa"/>
            <w:vAlign w:val="center"/>
          </w:tcPr>
          <w:p>
            <w:pPr>
              <w:spacing w:line="360" w:lineRule="auto"/>
              <w:jc w:val="center"/>
              <w:rPr>
                <w:rFonts w:hint="eastAsia" w:eastAsia="楷体_GB2312"/>
                <w:sz w:val="28"/>
                <w:szCs w:val="28"/>
                <w:lang w:val="en-US" w:eastAsia="zh-CN"/>
              </w:rPr>
            </w:pPr>
            <w:r>
              <w:rPr>
                <w:rFonts w:hint="eastAsia" w:ascii="仿宋" w:hAnsi="仿宋" w:eastAsia="仿宋" w:cs="仿宋"/>
                <w:sz w:val="24"/>
                <w:szCs w:val="24"/>
                <w:lang w:val="en-US" w:eastAsia="zh-CN"/>
              </w:rPr>
              <w:t>男</w:t>
            </w:r>
          </w:p>
        </w:tc>
        <w:tc>
          <w:tcPr>
            <w:tcW w:w="1484" w:type="dxa"/>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2015</w:t>
            </w:r>
          </w:p>
        </w:tc>
        <w:tc>
          <w:tcPr>
            <w:tcW w:w="1582" w:type="dxa"/>
            <w:vAlign w:val="center"/>
          </w:tcPr>
          <w:p>
            <w:pPr>
              <w:spacing w:line="360" w:lineRule="auto"/>
              <w:jc w:val="center"/>
              <w:rPr>
                <w:rFonts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613" w:type="dxa"/>
            <w:vAlign w:val="center"/>
          </w:tcPr>
          <w:p>
            <w:pPr>
              <w:spacing w:line="360" w:lineRule="auto"/>
              <w:ind w:left="180"/>
              <w:jc w:val="center"/>
              <w:rPr>
                <w:rFonts w:hint="eastAsia" w:eastAsia="楷体_GB2312"/>
                <w:sz w:val="28"/>
                <w:szCs w:val="28"/>
                <w:lang w:val="en-US" w:eastAsia="zh-CN"/>
              </w:rPr>
            </w:pPr>
            <w:r>
              <w:rPr>
                <w:rFonts w:hint="eastAsia" w:ascii="仿宋" w:hAnsi="仿宋" w:eastAsia="仿宋" w:cs="仿宋"/>
                <w:sz w:val="24"/>
                <w:szCs w:val="24"/>
                <w:lang w:val="en-US" w:eastAsia="zh-CN"/>
              </w:rPr>
              <w:t>李  艳</w:t>
            </w:r>
          </w:p>
        </w:tc>
        <w:tc>
          <w:tcPr>
            <w:tcW w:w="1803" w:type="dxa"/>
            <w:gridSpan w:val="2"/>
            <w:vAlign w:val="center"/>
          </w:tcPr>
          <w:p>
            <w:pPr>
              <w:spacing w:line="360" w:lineRule="auto"/>
              <w:jc w:val="center"/>
              <w:rPr>
                <w:rFonts w:hint="eastAsia" w:eastAsia="楷体_GB2312"/>
                <w:sz w:val="28"/>
                <w:szCs w:val="28"/>
                <w:lang w:val="en-US" w:eastAsia="zh-CN"/>
              </w:rPr>
            </w:pPr>
            <w:r>
              <w:rPr>
                <w:rFonts w:hint="eastAsia" w:ascii="仿宋" w:hAnsi="仿宋" w:eastAsia="仿宋" w:cs="仿宋"/>
                <w:sz w:val="24"/>
                <w:szCs w:val="24"/>
                <w:lang w:val="en-US" w:eastAsia="zh-CN"/>
              </w:rPr>
              <w:t>2016210121</w:t>
            </w:r>
          </w:p>
        </w:tc>
        <w:tc>
          <w:tcPr>
            <w:tcW w:w="1957" w:type="dxa"/>
            <w:gridSpan w:val="2"/>
            <w:vAlign w:val="center"/>
          </w:tcPr>
          <w:p>
            <w:pPr>
              <w:spacing w:line="360" w:lineRule="auto"/>
              <w:jc w:val="center"/>
              <w:rPr>
                <w:rFonts w:hint="eastAsia" w:eastAsia="楷体_GB2312"/>
                <w:sz w:val="28"/>
                <w:szCs w:val="28"/>
                <w:lang w:val="en-US" w:eastAsia="zh-CN"/>
              </w:rPr>
            </w:pPr>
            <w:r>
              <w:rPr>
                <w:rFonts w:hint="eastAsia" w:ascii="仿宋" w:hAnsi="仿宋" w:eastAsia="仿宋" w:cs="仿宋"/>
                <w:sz w:val="24"/>
                <w:szCs w:val="24"/>
                <w:lang w:val="en-US" w:eastAsia="zh-CN"/>
              </w:rPr>
              <w:t>人力资源管理</w:t>
            </w:r>
          </w:p>
        </w:tc>
        <w:tc>
          <w:tcPr>
            <w:tcW w:w="927" w:type="dxa"/>
            <w:vAlign w:val="center"/>
          </w:tcPr>
          <w:p>
            <w:pPr>
              <w:spacing w:line="360" w:lineRule="auto"/>
              <w:jc w:val="center"/>
              <w:rPr>
                <w:rFonts w:hint="eastAsia" w:eastAsia="楷体_GB2312"/>
                <w:sz w:val="28"/>
                <w:szCs w:val="28"/>
                <w:lang w:val="en-US" w:eastAsia="zh-CN"/>
              </w:rPr>
            </w:pPr>
            <w:r>
              <w:rPr>
                <w:rFonts w:hint="eastAsia" w:ascii="仿宋" w:hAnsi="仿宋" w:eastAsia="仿宋" w:cs="仿宋"/>
                <w:sz w:val="24"/>
                <w:szCs w:val="24"/>
                <w:lang w:val="en-US" w:eastAsia="zh-CN"/>
              </w:rPr>
              <w:t>女</w:t>
            </w:r>
          </w:p>
        </w:tc>
        <w:tc>
          <w:tcPr>
            <w:tcW w:w="1484" w:type="dxa"/>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2016</w:t>
            </w:r>
          </w:p>
        </w:tc>
        <w:tc>
          <w:tcPr>
            <w:tcW w:w="1582" w:type="dxa"/>
            <w:vAlign w:val="center"/>
          </w:tcPr>
          <w:p>
            <w:pPr>
              <w:spacing w:line="360" w:lineRule="auto"/>
              <w:jc w:val="center"/>
              <w:rPr>
                <w:rFonts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613" w:type="dxa"/>
            <w:vAlign w:val="center"/>
          </w:tcPr>
          <w:p>
            <w:pPr>
              <w:spacing w:line="360" w:lineRule="auto"/>
              <w:ind w:left="180"/>
              <w:jc w:val="center"/>
              <w:rPr>
                <w:rFonts w:eastAsia="楷体_GB2312"/>
                <w:sz w:val="28"/>
                <w:szCs w:val="28"/>
              </w:rPr>
            </w:pPr>
          </w:p>
        </w:tc>
        <w:tc>
          <w:tcPr>
            <w:tcW w:w="1803" w:type="dxa"/>
            <w:gridSpan w:val="2"/>
            <w:vAlign w:val="center"/>
          </w:tcPr>
          <w:p>
            <w:pPr>
              <w:spacing w:line="360" w:lineRule="auto"/>
              <w:jc w:val="center"/>
              <w:rPr>
                <w:rFonts w:eastAsia="楷体_GB2312"/>
                <w:sz w:val="28"/>
                <w:szCs w:val="28"/>
              </w:rPr>
            </w:pPr>
          </w:p>
        </w:tc>
        <w:tc>
          <w:tcPr>
            <w:tcW w:w="1957" w:type="dxa"/>
            <w:gridSpan w:val="2"/>
            <w:vAlign w:val="center"/>
          </w:tcPr>
          <w:p>
            <w:pPr>
              <w:spacing w:line="360" w:lineRule="auto"/>
              <w:jc w:val="center"/>
              <w:rPr>
                <w:rFonts w:eastAsia="楷体_GB2312"/>
                <w:sz w:val="28"/>
                <w:szCs w:val="28"/>
              </w:rPr>
            </w:pPr>
          </w:p>
        </w:tc>
        <w:tc>
          <w:tcPr>
            <w:tcW w:w="927" w:type="dxa"/>
            <w:vAlign w:val="center"/>
          </w:tcPr>
          <w:p>
            <w:pPr>
              <w:spacing w:line="360" w:lineRule="auto"/>
              <w:jc w:val="center"/>
              <w:rPr>
                <w:rFonts w:eastAsia="楷体_GB2312"/>
                <w:sz w:val="28"/>
                <w:szCs w:val="28"/>
              </w:rPr>
            </w:pPr>
          </w:p>
        </w:tc>
        <w:tc>
          <w:tcPr>
            <w:tcW w:w="1484" w:type="dxa"/>
            <w:vAlign w:val="center"/>
          </w:tcPr>
          <w:p>
            <w:pPr>
              <w:spacing w:line="360" w:lineRule="auto"/>
              <w:jc w:val="center"/>
              <w:rPr>
                <w:rFonts w:eastAsia="楷体_GB2312"/>
                <w:sz w:val="28"/>
                <w:szCs w:val="28"/>
              </w:rPr>
            </w:pPr>
          </w:p>
        </w:tc>
        <w:tc>
          <w:tcPr>
            <w:tcW w:w="1582" w:type="dxa"/>
            <w:vAlign w:val="center"/>
          </w:tcPr>
          <w:p>
            <w:pPr>
              <w:spacing w:line="360" w:lineRule="auto"/>
              <w:jc w:val="center"/>
              <w:rPr>
                <w:rFonts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1" w:hRule="atLeast"/>
          <w:jc w:val="center"/>
        </w:trPr>
        <w:tc>
          <w:tcPr>
            <w:tcW w:w="1613" w:type="dxa"/>
            <w:vAlign w:val="center"/>
          </w:tcPr>
          <w:p>
            <w:pPr>
              <w:spacing w:line="360" w:lineRule="auto"/>
              <w:ind w:left="180"/>
              <w:jc w:val="center"/>
              <w:rPr>
                <w:rFonts w:eastAsia="楷体_GB2312"/>
                <w:sz w:val="28"/>
                <w:szCs w:val="28"/>
              </w:rPr>
            </w:pPr>
            <w:r>
              <w:rPr>
                <w:rFonts w:hint="eastAsia" w:eastAsia="楷体_GB2312"/>
                <w:sz w:val="28"/>
                <w:szCs w:val="28"/>
              </w:rPr>
              <w:t>指导教师</w:t>
            </w:r>
          </w:p>
        </w:tc>
        <w:tc>
          <w:tcPr>
            <w:tcW w:w="1353" w:type="dxa"/>
            <w:vAlign w:val="center"/>
          </w:tcPr>
          <w:p>
            <w:pPr>
              <w:spacing w:line="360" w:lineRule="auto"/>
              <w:jc w:val="center"/>
              <w:rPr>
                <w:rFonts w:hint="eastAsia" w:eastAsia="楷体_GB2312"/>
                <w:sz w:val="28"/>
                <w:szCs w:val="28"/>
                <w:lang w:eastAsia="zh-CN"/>
              </w:rPr>
            </w:pPr>
            <w:r>
              <w:rPr>
                <w:rFonts w:hint="eastAsia" w:ascii="仿宋" w:hAnsi="仿宋" w:eastAsia="仿宋" w:cs="仿宋"/>
                <w:sz w:val="24"/>
                <w:szCs w:val="24"/>
                <w:lang w:val="en-US" w:eastAsia="zh-CN"/>
              </w:rPr>
              <w:t>张义清</w:t>
            </w:r>
          </w:p>
        </w:tc>
        <w:tc>
          <w:tcPr>
            <w:tcW w:w="1127" w:type="dxa"/>
            <w:gridSpan w:val="2"/>
            <w:vAlign w:val="center"/>
          </w:tcPr>
          <w:p>
            <w:pPr>
              <w:spacing w:line="360" w:lineRule="auto"/>
              <w:jc w:val="center"/>
              <w:rPr>
                <w:rFonts w:eastAsia="楷体_GB2312"/>
                <w:sz w:val="28"/>
                <w:szCs w:val="28"/>
              </w:rPr>
            </w:pPr>
            <w:r>
              <w:rPr>
                <w:rFonts w:hint="eastAsia" w:eastAsia="楷体_GB2312"/>
                <w:sz w:val="28"/>
                <w:szCs w:val="28"/>
              </w:rPr>
              <w:t>职称</w:t>
            </w:r>
          </w:p>
        </w:tc>
        <w:tc>
          <w:tcPr>
            <w:tcW w:w="1280" w:type="dxa"/>
            <w:vAlign w:val="center"/>
          </w:tcPr>
          <w:p>
            <w:pPr>
              <w:spacing w:line="360" w:lineRule="auto"/>
              <w:jc w:val="center"/>
              <w:rPr>
                <w:rFonts w:hint="eastAsia" w:eastAsia="楷体_GB2312"/>
                <w:sz w:val="28"/>
                <w:szCs w:val="28"/>
                <w:lang w:eastAsia="zh-CN"/>
              </w:rPr>
            </w:pPr>
            <w:r>
              <w:rPr>
                <w:rFonts w:hint="eastAsia" w:ascii="仿宋" w:hAnsi="仿宋" w:eastAsia="仿宋" w:cs="仿宋"/>
                <w:sz w:val="24"/>
                <w:szCs w:val="24"/>
                <w:lang w:val="en-US" w:eastAsia="zh-CN"/>
              </w:rPr>
              <w:t>教授</w:t>
            </w:r>
          </w:p>
        </w:tc>
        <w:tc>
          <w:tcPr>
            <w:tcW w:w="2411" w:type="dxa"/>
            <w:gridSpan w:val="2"/>
            <w:vAlign w:val="center"/>
          </w:tcPr>
          <w:p>
            <w:pPr>
              <w:spacing w:line="360" w:lineRule="auto"/>
              <w:jc w:val="center"/>
              <w:rPr>
                <w:rFonts w:eastAsia="楷体_GB2312"/>
                <w:sz w:val="28"/>
                <w:szCs w:val="28"/>
              </w:rPr>
            </w:pPr>
            <w:r>
              <w:rPr>
                <w:rFonts w:hint="eastAsia" w:eastAsia="楷体_GB2312"/>
                <w:sz w:val="28"/>
                <w:szCs w:val="28"/>
              </w:rPr>
              <w:t>项目所属一级学科</w:t>
            </w:r>
          </w:p>
        </w:tc>
        <w:tc>
          <w:tcPr>
            <w:tcW w:w="1582" w:type="dxa"/>
            <w:vAlign w:val="center"/>
          </w:tcPr>
          <w:p>
            <w:pPr>
              <w:spacing w:line="360" w:lineRule="auto"/>
              <w:jc w:val="center"/>
              <w:rPr>
                <w:rFonts w:hint="eastAsia" w:eastAsia="楷体_GB2312"/>
                <w:sz w:val="28"/>
                <w:szCs w:val="28"/>
                <w:lang w:eastAsia="zh-CN"/>
              </w:rPr>
            </w:pPr>
            <w:r>
              <w:rPr>
                <w:rFonts w:hint="eastAsia" w:ascii="仿宋" w:hAnsi="仿宋" w:eastAsia="仿宋" w:cs="仿宋"/>
                <w:sz w:val="24"/>
                <w:szCs w:val="24"/>
                <w:lang w:val="en-US" w:eastAsia="zh-CN"/>
              </w:rPr>
              <w:t>法学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0" w:hRule="atLeast"/>
          <w:jc w:val="center"/>
        </w:trPr>
        <w:tc>
          <w:tcPr>
            <w:tcW w:w="9366" w:type="dxa"/>
            <w:gridSpan w:val="8"/>
            <w:vAlign w:val="top"/>
          </w:tcPr>
          <w:p>
            <w:pPr>
              <w:spacing w:line="360" w:lineRule="auto"/>
              <w:rPr>
                <w:rFonts w:hint="eastAsia" w:eastAsia="楷体_GB2312"/>
                <w:sz w:val="28"/>
                <w:szCs w:val="28"/>
              </w:rPr>
            </w:pPr>
            <w:r>
              <w:rPr>
                <w:rFonts w:hint="eastAsia" w:eastAsia="楷体_GB2312"/>
                <w:sz w:val="28"/>
                <w:szCs w:val="28"/>
              </w:rPr>
              <w:t>学生曾经参与科研或创业的情况</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课题负责人万川曾经参与科研或创业的情况：</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1.2016年作为湘潭大学16级新生代表接受湖南经视和湖南教育电视台的采访工作；</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2.2016年参加湘潭大学第二届模拟联合国大会，获得“杰出代表”（代表国家：CHINA）;</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3.2017年参加湘西州永顺县精准扶贫的调研工作，并完成调研报告1篇；</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4.2017年担任全国第一部由本科生独立运行的法学学术刊物《湘江法苑》的责任编辑；并在此刊物发表学术论文一篇；</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5.2017年参加由湖南大学主办的“第八届中南地区模拟联合国大会”（代表国家：JAPAN）；</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6.2017年担任第20届湘潭大学学生青年政治学会的学术顾问。</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2"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课题组主要参与人刘泽千曾经参与科研或创业的情况：</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1.2016年参加湘潭大学百科知识竞赛，获得“优胜奖”；</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2.2016年参加外国语学院“华晨杯”英语演讲比赛，获得冠军；</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3.2017年参加全国“贸仲杯”国际商事贸易仲裁模拟大赛，获得“全国一等奖”；</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4.2017年参加上海交通大学主办的全国国际人道法模拟法庭竞赛；</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5.2017年在湖南省高级人民法院进行实习；</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6.2017年获得法学院“甲等奖学金”；</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7.2017年获评“湘潭大学三好学生”；</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8.2017年被共青团湘潭大学委员会授予“优秀共青团员”称号。</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课题组主要参与人顾男飞曾经参与科研或创业的情况：</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1.2013年参加江苏省机器人大赛并获得二等奖；    </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2.2015年参加常州市“中吴杯”模拟联合国大赛并获得杰出代表奖 （代表国家：SWEDEN）；</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3.2016年参加全国征文比赛并获得二等奖； </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4.2016年参加常州市模拟政协活动并获得最佳风采奖； </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5.2017年曾参加湘潭大学征文活动并获优秀奖 ； </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6.2018年参加“思翼全国模拟联合国大赛”并获得杰出代表奖(代表国家：CHINA).</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2"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课题组主要参与人尤志远曾经参与科研或创业的情况：</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1.2015年作为湘潭大学学生会志愿者参与湖南省首届大学生践行社会主义核心价值观主题辩论赛筹备及举办工作，并获得“优秀志愿者”荣誉称号；</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2.2015年被中共湘潭大学委员会授予“优秀共青团员”称号；</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3.2016年暑假及2017年暑假参与湘潭大学三下乡社会实践活动；</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4.2016年参加由中国社会福利基金会举办的2016年益跑长沙城市穿越文明创建活动，获公益证书；</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5.2016年参与举办“永雄杯”湘潭大学“互联网+”大学生创新创业大赛，获得“优秀工作者”称号；</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6.2017年被湘潭大学授予湘潭大学2015—2016学年“优秀学生干部”称号；</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7.2016至2017年作为志愿者参与湘潭大学公共管理学院学生党支部赴湘潭市中心医院“爱心导诊活动”；</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8.2017年作为志愿者参与湘潭市创建文明城市志愿劝导活动；</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9.2017年暑假赴韶山市委组织部进行实习；</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10.2017年获得湘潭大学2016—2017学年“励志奖学金”；</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11.2017年获得湘潭大学“伟人之托”奖助学金。</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课题组主要参与人李艳曾经参与科研或创业的情况：</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1.2017年参加湖南红领巾电子科技有限公司人事现状的调研工作，并完成调研报告一篇；</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2.2017年参加长沙中洲新型建材有限公司薪酬管理的调研工作；</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3.2017年作为副主编参与湘潭大学学生社团联合会学生刊物《新生，你好！》的编写工作；</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4.2017年获评“湘潭大学三好学生”；</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eastAsia="楷体_GB2312"/>
                <w:sz w:val="28"/>
                <w:szCs w:val="28"/>
              </w:rPr>
            </w:pPr>
            <w:r>
              <w:rPr>
                <w:rFonts w:hint="eastAsia" w:ascii="仿宋" w:hAnsi="仿宋" w:eastAsia="仿宋" w:cs="仿宋"/>
                <w:sz w:val="24"/>
                <w:szCs w:val="24"/>
                <w:lang w:val="en-US" w:eastAsia="zh-CN"/>
              </w:rPr>
              <w:t>5.2017年获得商学院“甲等奖学金”。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0" w:hRule="atLeast"/>
          <w:jc w:val="center"/>
        </w:trPr>
        <w:tc>
          <w:tcPr>
            <w:tcW w:w="9366" w:type="dxa"/>
            <w:gridSpan w:val="8"/>
            <w:vAlign w:val="top"/>
          </w:tcPr>
          <w:p>
            <w:pPr>
              <w:spacing w:line="360" w:lineRule="auto"/>
              <w:rPr>
                <w:rFonts w:eastAsia="楷体_GB2312"/>
                <w:sz w:val="28"/>
                <w:szCs w:val="28"/>
              </w:rPr>
            </w:pPr>
            <w:r>
              <w:rPr>
                <w:rFonts w:hint="eastAsia" w:eastAsia="楷体_GB2312"/>
                <w:sz w:val="28"/>
                <w:szCs w:val="28"/>
              </w:rPr>
              <w:t>指导教师承担科研课题情况</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张义清，1974年10月出生，湘潭大学法学院教授、博士生导师。其学术兴趣为法学理论，主攻立法与宪治理论。曾受聘为第十二届湘西自治州人民政府首席法律顾问。任职期间，作为首席专家参与承担了该政府、人大常委会组织的《乡村公路条例》等多件单行条例的论证和起草工作。2016年3月受聘为湘潭市人大常委会首批立法咨询专家，2017年1月推选为政协湘潭市第十二届委员会委员。近年来在立法领域研究的成果丰硕，主持完成国家社科基金项目、全国教育科学十五规划重点课题、教育部人文社科研究项目等项目12项。主要包括：</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1.主持完成国家社科基金项目“《监督法》配套立法效果考察及其实施机制建构研究”（研究期限：2011-2016；结项证书号：20171409);</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2.主持国家社科基金重大项目子项目“社会主义核心价值观融入法治建设的基本原理研究”（研究期限：2017—2019；批准号：17VHJ009）;</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3.执笔完成中共中央办公厅法规局委托调研项目“加强和完善党领导国家立法工作调研报告”，并作为执笔人担负了其中两个子报告内容的撰写任务(中法函字[2011]。</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4.主持完成全国教育科学“十五”规划重点课题“转型时期教育法律关系的嬗变与法治对策研究”（研究期限：2003-2008；201批准号：EGB030514);</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5.主持完成教育部人文社科研究项目“法律视野中的高等院校分类方法研究”（研究期限：2010-2015；结项证书号：2015JXZ2701);</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6.主持完成中国博士后科学基金项目“《监督法》配套立法疑难问题实证研究”（研究期限：2011-2012；编号：20110490510);</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7.主持完成度中国高等教育学会专项教改课题“高等院校分类的法律问题研究”（研究期限：2010-2015；批准号：2010YHE001）;</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eastAsia="楷体_GB2312"/>
                <w:sz w:val="28"/>
                <w:szCs w:val="28"/>
              </w:rPr>
            </w:pPr>
            <w:r>
              <w:rPr>
                <w:rFonts w:hint="eastAsia" w:ascii="仿宋" w:hAnsi="仿宋" w:eastAsia="仿宋" w:cs="仿宋"/>
                <w:sz w:val="24"/>
                <w:szCs w:val="24"/>
                <w:lang w:val="en-US" w:eastAsia="zh-CN"/>
              </w:rPr>
              <w:t>8.主持完成中国法学会部级法学研究课题“转型期维系政治稳定的宪法机制研究”（批准号：C0712)。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0" w:hRule="atLeast"/>
          <w:jc w:val="center"/>
        </w:trPr>
        <w:tc>
          <w:tcPr>
            <w:tcW w:w="9366" w:type="dxa"/>
            <w:gridSpan w:val="8"/>
            <w:vAlign w:val="top"/>
          </w:tcPr>
          <w:p>
            <w:pPr>
              <w:spacing w:line="360" w:lineRule="auto"/>
              <w:rPr>
                <w:rFonts w:hint="eastAsia" w:eastAsia="楷体_GB2312"/>
                <w:sz w:val="28"/>
                <w:szCs w:val="28"/>
                <w:lang w:val="en-US" w:eastAsia="zh-CN"/>
              </w:rPr>
            </w:pPr>
            <w:r>
              <w:rPr>
                <w:rFonts w:hint="eastAsia" w:eastAsia="楷体_GB2312"/>
                <w:sz w:val="28"/>
                <w:szCs w:val="28"/>
                <w:lang w:val="en-US" w:eastAsia="zh-CN"/>
              </w:rPr>
              <w:t>项目研究和实验的目的、内容和要解决的主要问题</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一、研究目的</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1.统计地方立法主体扩容后，其对高素质法学专业人才的需求增长状况，对比目前高校每年培养的法学专业人才的供给状况，通过数据分析其中存在的差距；</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2.了解地方立法工作对法学专业人才的素质要求，对比目前高校法学专业人才培养方案和培养质量，点面结合地通过数据、案例和事例分析其中的差距；</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3.结合各地制定的地方立法机关人才队伍建设规划和计划，分析地方立法工作者职业化和专业化的发展趋势和基本要求；</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4.结合不同类型高校法学院系人才培养方案，反思我国目前以“司法中心主义”为导向的法学专业人才培养模式；</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5.解决立法人才培养与地方立法需求的矛盾，促进地方立法主体的立法能力和立法质量，探索设计高等院校关于适应目前国内立法需求的新的人才培养和评价体系。</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二、研究内容</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1.就湖南省内13个设区的市、1个自治州和部分自治县的立法机关的立法能力、立法质量、运行状况、人才队伍建设的状况开展深入细致的实证调研，形成客观的统计数据和系统的调研报告；</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2.分析湖南省各地方立法机关尤其是人大及其常委会、法工委、法制委以及立法咨询专家的学历结构和各地方立法人才的供需情况，同时收集当地立法人才的储备情况，形成客观的统计数据和系统的调研报告；</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通过实地调研、参与立法实务，了解地方立法工作的特点和要求，分析地方立法工作的职业化发展现状、存在的问题及其发展趋势，研究地方立法工作对法学专业人才的素质要求，形成相应的理论成果并公开发表。</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以湘潭大学法学院、中南大学法学院、湖南大学法学院和湖南师范大学法学院四所湖南省内法学强校为主要考察样本，深入了解高校有关复合型法学人才和应用型立法人才的培养情况和储备情况，形成相应的统计数据。</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结合全国范围内地方立法主体扩容的概况，针对全国高校法学人才培养的实际情况，总结当前高校法学教育中立法人才培养的成功经验，查找其中存在的问题，分析未来的发展趋势，形成相应的对策建议和理论成果并公开发表。</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三、要解决的主要问题</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 观察并破解全面深化改革对地方立法的实际需求与目前我国各级地方立法机关立法能力不匹配，以及高等法学教育对立法人才培养关注不够的问题；</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2.分析和解决《立法法》（2015年修改）赋予设区的市以立法权，立法人才需求增长与供给不足的问题；</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3.针对我国当前地方立法机关目前存在的立法人才储备不足、人员专业和学理结构不合理，以及地方立法职业队伍建设中的某些不足之处，提出相应的意见和建议；</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4.针对国内高等法学教育人才培养体系中长期以来受“司法中心主义”导致的立法人才培养的薄弱环节，探索设计高等院校关于适应目前国内立法需求的新的人才培养和评价体系。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5" w:hRule="atLeast"/>
          <w:jc w:val="center"/>
        </w:trPr>
        <w:tc>
          <w:tcPr>
            <w:tcW w:w="9366" w:type="dxa"/>
            <w:gridSpan w:val="8"/>
            <w:vAlign w:val="top"/>
          </w:tcPr>
          <w:p>
            <w:pPr>
              <w:spacing w:line="360" w:lineRule="auto"/>
              <w:rPr>
                <w:rFonts w:hint="default" w:eastAsia="楷体_GB2312"/>
                <w:sz w:val="28"/>
                <w:szCs w:val="28"/>
                <w:lang w:val="en-US" w:eastAsia="zh-CN"/>
              </w:rPr>
            </w:pPr>
            <w:r>
              <w:rPr>
                <w:rFonts w:hint="eastAsia" w:eastAsia="楷体_GB2312"/>
                <w:sz w:val="28"/>
                <w:szCs w:val="28"/>
                <w:lang w:val="en-US" w:eastAsia="zh-CN"/>
              </w:rPr>
              <w:t>国内外研究现状和发展动态</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国内研究现状：</w:t>
            </w:r>
          </w:p>
          <w:p>
            <w:pPr>
              <w:keepNext w:val="0"/>
              <w:keepLines w:val="0"/>
              <w:pageBreakBefore w:val="0"/>
              <w:widowControl/>
              <w:kinsoku/>
              <w:wordWrap/>
              <w:overflowPunct/>
              <w:topLinePunct w:val="0"/>
              <w:autoSpaceDE/>
              <w:autoSpaceDN/>
              <w:bidi w:val="0"/>
              <w:adjustRightInd w:val="0"/>
              <w:snapToGrid w:val="0"/>
              <w:spacing w:beforeLines="0" w:after="0" w:afterLines="0" w:line="360" w:lineRule="auto"/>
              <w:ind w:left="0" w:leftChars="0" w:right="0" w:rightChars="0" w:firstLine="480" w:firstLineChars="200"/>
              <w:jc w:val="left"/>
              <w:textAlignment w:val="auto"/>
              <w:outlineLvl w:val="9"/>
              <w:rPr>
                <w:rFonts w:hint="eastAsia" w:ascii="仿宋" w:hAnsi="仿宋" w:eastAsia="仿宋" w:cs="仿宋"/>
                <w:b w:val="0"/>
                <w:color w:val="000000"/>
                <w:kern w:val="0"/>
                <w:sz w:val="24"/>
                <w:szCs w:val="24"/>
                <w:lang w:val="en-US" w:eastAsia="zh-CN" w:bidi="ar-SA"/>
              </w:rPr>
            </w:pPr>
            <w:r>
              <w:rPr>
                <w:rFonts w:hint="eastAsia" w:ascii="仿宋" w:hAnsi="仿宋" w:eastAsia="仿宋" w:cs="仿宋"/>
                <w:b w:val="0"/>
                <w:color w:val="000000"/>
                <w:kern w:val="0"/>
                <w:sz w:val="24"/>
                <w:szCs w:val="24"/>
                <w:lang w:val="en-US" w:eastAsia="zh-CN" w:bidi="ar-SA"/>
              </w:rPr>
              <w:t>2013年11月12日中共十八届三中全会通过的</w:t>
            </w:r>
            <w:r>
              <w:rPr>
                <w:rFonts w:hint="eastAsia" w:ascii="仿宋" w:hAnsi="仿宋" w:eastAsia="仿宋" w:cs="仿宋"/>
                <w:b/>
                <w:bCs/>
                <w:color w:val="000000"/>
                <w:kern w:val="0"/>
                <w:sz w:val="24"/>
                <w:szCs w:val="24"/>
                <w:lang w:val="en-US" w:eastAsia="zh-CN" w:bidi="ar-SA"/>
              </w:rPr>
              <w:t>《</w:t>
            </w:r>
            <w:r>
              <w:rPr>
                <w:rFonts w:hint="eastAsia" w:ascii="仿宋" w:hAnsi="仿宋" w:eastAsia="仿宋" w:cs="仿宋"/>
                <w:b/>
                <w:bCs/>
                <w:color w:val="000000"/>
                <w:kern w:val="0"/>
                <w:sz w:val="24"/>
                <w:szCs w:val="24"/>
                <w:lang w:val="en-US" w:eastAsia="zh-CN" w:bidi="ar-SA"/>
              </w:rPr>
              <w:fldChar w:fldCharType="begin"/>
            </w:r>
            <w:r>
              <w:rPr>
                <w:rFonts w:hint="eastAsia" w:ascii="仿宋" w:hAnsi="仿宋" w:eastAsia="仿宋" w:cs="仿宋"/>
                <w:b/>
                <w:bCs/>
                <w:color w:val="000000"/>
                <w:kern w:val="0"/>
                <w:sz w:val="24"/>
                <w:szCs w:val="24"/>
                <w:lang w:val="en-US" w:eastAsia="zh-CN" w:bidi="ar-SA"/>
              </w:rPr>
              <w:instrText xml:space="preserve"> HYPERLINK "https://baike.baidu.com/item/%E4%B8%AD%E5%85%B1%E4%B8%AD%E5%A4%AE%E5%85%B3%E4%BA%8E%E5%85%A8%E9%9D%A2%E6%B7%B1%E5%8C%96%E6%94%B9%E9%9D%A9%E8%8B%A5%E5%B9%B2%E9%87%8D%E5%A4%A7%E9%97%AE%E9%A2%98%E7%9A%84%E5%86%B3%E5%AE%9A" \t "https://baike.baidu.com/item/_blank" </w:instrText>
            </w:r>
            <w:r>
              <w:rPr>
                <w:rFonts w:hint="eastAsia" w:ascii="仿宋" w:hAnsi="仿宋" w:eastAsia="仿宋" w:cs="仿宋"/>
                <w:b/>
                <w:bCs/>
                <w:color w:val="000000"/>
                <w:kern w:val="0"/>
                <w:sz w:val="24"/>
                <w:szCs w:val="24"/>
                <w:lang w:val="en-US" w:eastAsia="zh-CN" w:bidi="ar-SA"/>
              </w:rPr>
              <w:fldChar w:fldCharType="separate"/>
            </w:r>
            <w:r>
              <w:rPr>
                <w:rFonts w:hint="eastAsia" w:ascii="仿宋" w:hAnsi="仿宋" w:eastAsia="仿宋" w:cs="仿宋"/>
                <w:b/>
                <w:bCs/>
                <w:color w:val="000000"/>
                <w:kern w:val="0"/>
                <w:sz w:val="24"/>
                <w:szCs w:val="24"/>
                <w:lang w:val="en-US" w:eastAsia="zh-CN" w:bidi="ar-SA"/>
              </w:rPr>
              <w:t>中共中央关于全面深化改革若干重大问题的决定</w:t>
            </w:r>
            <w:r>
              <w:rPr>
                <w:rFonts w:hint="eastAsia" w:ascii="仿宋" w:hAnsi="仿宋" w:eastAsia="仿宋" w:cs="仿宋"/>
                <w:b/>
                <w:bCs/>
                <w:color w:val="000000"/>
                <w:kern w:val="0"/>
                <w:sz w:val="24"/>
                <w:szCs w:val="24"/>
                <w:lang w:val="en-US" w:eastAsia="zh-CN" w:bidi="ar-SA"/>
              </w:rPr>
              <w:fldChar w:fldCharType="end"/>
            </w:r>
            <w:r>
              <w:rPr>
                <w:rFonts w:hint="eastAsia" w:ascii="仿宋" w:hAnsi="仿宋" w:eastAsia="仿宋" w:cs="仿宋"/>
                <w:b/>
                <w:bCs/>
                <w:color w:val="000000"/>
                <w:kern w:val="0"/>
                <w:sz w:val="24"/>
                <w:szCs w:val="24"/>
                <w:lang w:val="en-US" w:eastAsia="zh-CN" w:bidi="ar-SA"/>
              </w:rPr>
              <w:t>》</w:t>
            </w:r>
            <w:r>
              <w:rPr>
                <w:rFonts w:hint="eastAsia" w:ascii="仿宋" w:hAnsi="仿宋" w:eastAsia="仿宋" w:cs="仿宋"/>
                <w:b w:val="0"/>
                <w:color w:val="000000"/>
                <w:kern w:val="0"/>
                <w:sz w:val="24"/>
                <w:szCs w:val="24"/>
                <w:lang w:val="en-US" w:eastAsia="zh-CN" w:bidi="ar-SA"/>
              </w:rPr>
              <w:t>指出，当前我国发展进入新阶段，改革进入攻坚期和深水区。全面深化改革的总目标是完善和发展中国特色社会主义制度，推进国家治理体系和治理能力现代化。2014年10月23日中共十八届四中全会通过的</w:t>
            </w:r>
            <w:r>
              <w:rPr>
                <w:rFonts w:hint="eastAsia" w:ascii="仿宋" w:hAnsi="仿宋" w:eastAsia="仿宋" w:cs="仿宋"/>
                <w:b/>
                <w:bCs/>
                <w:color w:val="000000"/>
                <w:kern w:val="0"/>
                <w:sz w:val="24"/>
                <w:szCs w:val="24"/>
                <w:lang w:val="en-US" w:eastAsia="zh-CN" w:bidi="ar-SA"/>
              </w:rPr>
              <w:t>《中央关于全面推进依法治国重大问题决定》特别强调：“实现立法和改革决策相衔接，做到重大改革于法有据、立法主动适应改革和经济社会发展需要。”</w:t>
            </w:r>
            <w:r>
              <w:rPr>
                <w:rFonts w:hint="eastAsia" w:ascii="仿宋" w:hAnsi="仿宋" w:eastAsia="仿宋" w:cs="仿宋"/>
                <w:b w:val="0"/>
                <w:color w:val="000000"/>
                <w:kern w:val="0"/>
                <w:sz w:val="24"/>
                <w:szCs w:val="24"/>
                <w:lang w:val="en-US" w:eastAsia="zh-CN" w:bidi="ar-SA"/>
              </w:rPr>
              <w:t>2015年3月15日第十二届全国人民代表大会第三次会议审议通过</w:t>
            </w:r>
            <w:r>
              <w:rPr>
                <w:rFonts w:hint="eastAsia" w:ascii="仿宋" w:hAnsi="仿宋" w:eastAsia="仿宋" w:cs="仿宋"/>
                <w:b/>
                <w:bCs/>
                <w:color w:val="000000"/>
                <w:kern w:val="0"/>
                <w:sz w:val="24"/>
                <w:szCs w:val="24"/>
                <w:lang w:val="en-US" w:eastAsia="zh-CN" w:bidi="ar-SA"/>
              </w:rPr>
              <w:t>《全国人民代表大会关于修改〈中华人民共和国立法法〉的决定》</w:t>
            </w:r>
            <w:r>
              <w:rPr>
                <w:rFonts w:hint="eastAsia" w:ascii="仿宋" w:hAnsi="仿宋" w:eastAsia="仿宋" w:cs="仿宋"/>
                <w:b w:val="0"/>
                <w:color w:val="000000"/>
                <w:kern w:val="0"/>
                <w:sz w:val="24"/>
                <w:szCs w:val="24"/>
                <w:lang w:val="en-US" w:eastAsia="zh-CN" w:bidi="ar-SA"/>
              </w:rPr>
              <w:t>，赋予273 个设区的市、自治州（包括4 个不设区的市）制定地方性法规的权限。其中涉及某些此前没有立法权的设区的市开始制定地方性法规的具体步骤和时间，该法第72条第4款则明确规定了</w:t>
            </w:r>
            <w:r>
              <w:rPr>
                <w:rFonts w:hint="eastAsia" w:ascii="仿宋" w:hAnsi="仿宋" w:eastAsia="仿宋" w:cs="仿宋"/>
                <w:b/>
                <w:bCs/>
                <w:color w:val="000000"/>
                <w:kern w:val="0"/>
                <w:sz w:val="24"/>
                <w:szCs w:val="24"/>
                <w:lang w:val="en-US" w:eastAsia="zh-CN" w:bidi="ar-SA"/>
              </w:rPr>
              <w:t>“由省、自治区的人民代表大会常务委员会综合考虑本省、自治区所辖的设区的市的人口数量、地域面积、经济社会发展情况以及立法需求、立法能力等因素确定，并报全国人民代表大会常务委员会和国务院备案。”其中就明确提到“立法需求”和“立法能力”。</w:t>
            </w:r>
            <w:r>
              <w:rPr>
                <w:rFonts w:hint="eastAsia" w:ascii="仿宋" w:hAnsi="仿宋" w:eastAsia="仿宋" w:cs="仿宋"/>
                <w:b w:val="0"/>
                <w:bCs w:val="0"/>
                <w:color w:val="000000"/>
                <w:kern w:val="0"/>
                <w:sz w:val="24"/>
                <w:szCs w:val="24"/>
                <w:lang w:val="en-US" w:eastAsia="zh-CN" w:bidi="ar-SA"/>
              </w:rPr>
              <w:t>《决定》同时还要求：</w:t>
            </w:r>
            <w:r>
              <w:rPr>
                <w:rFonts w:hint="eastAsia" w:ascii="仿宋" w:hAnsi="仿宋" w:eastAsia="仿宋" w:cs="仿宋"/>
                <w:b/>
                <w:bCs/>
                <w:color w:val="000000"/>
                <w:kern w:val="0"/>
                <w:sz w:val="24"/>
                <w:szCs w:val="24"/>
                <w:lang w:val="en-US" w:eastAsia="zh-CN" w:bidi="ar-SA"/>
              </w:rPr>
              <w:t>“建设高素质法治专门队伍”，“加强立法队伍、行政执法队伍、司法队伍建设”</w:t>
            </w:r>
            <w:r>
              <w:rPr>
                <w:rFonts w:hint="eastAsia" w:ascii="仿宋" w:hAnsi="仿宋" w:eastAsia="仿宋" w:cs="仿宋"/>
                <w:b w:val="0"/>
                <w:bCs w:val="0"/>
                <w:color w:val="000000"/>
                <w:kern w:val="0"/>
                <w:sz w:val="24"/>
                <w:szCs w:val="24"/>
                <w:lang w:val="en-US" w:eastAsia="zh-CN" w:bidi="ar-SA"/>
              </w:rPr>
              <w:t>。立法队伍是法治专门队伍的重要组成部分，是做好立法工作的重要组织和人才保障。</w:t>
            </w:r>
          </w:p>
          <w:p>
            <w:pPr>
              <w:keepNext w:val="0"/>
              <w:keepLines w:val="0"/>
              <w:pageBreakBefore w:val="0"/>
              <w:widowControl/>
              <w:kinsoku/>
              <w:wordWrap/>
              <w:overflowPunct/>
              <w:topLinePunct w:val="0"/>
              <w:autoSpaceDE/>
              <w:autoSpaceDN/>
              <w:bidi w:val="0"/>
              <w:adjustRightInd w:val="0"/>
              <w:snapToGrid w:val="0"/>
              <w:spacing w:beforeLines="0" w:after="0" w:afterLines="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全面深化改革对立法提出了更高更新的要求，需要不断提升我国各级立法机关的立法能力方能得以实现。而提升地方立法机关的立法能力重在加强地方立法工作队伍建设，需</w:t>
            </w:r>
            <w:r>
              <w:rPr>
                <w:rFonts w:hint="eastAsia" w:ascii="仿宋" w:hAnsi="仿宋" w:eastAsia="仿宋" w:cs="仿宋"/>
                <w:b w:val="0"/>
                <w:kern w:val="0"/>
                <w:sz w:val="24"/>
                <w:szCs w:val="24"/>
                <w:lang w:val="en-US" w:eastAsia="zh-CN" w:bidi="ar-SA"/>
              </w:rPr>
              <w:t>要培养一大批适应当前立法工作需要的</w:t>
            </w:r>
            <w:r>
              <w:rPr>
                <w:rFonts w:hint="eastAsia" w:ascii="仿宋" w:hAnsi="仿宋" w:eastAsia="仿宋" w:cs="仿宋"/>
                <w:sz w:val="24"/>
                <w:szCs w:val="24"/>
                <w:lang w:val="en-US" w:eastAsia="zh-CN"/>
              </w:rPr>
              <w:t>高素质法学专业人才尤其是立法专业人才。然而，在目前高等法学教育实践中，立法人才的培养是一个薄弱环节。长期以来，受“司法中心主义”导向的影响，人们在研究法律职业时，往往只把应用类中的法律实施人才尤其是司法人才作为重点对象，对于立法人才的培养体系关注不够。然而现代立法是一种专业化和技术化很强的工作，开展立法准备活动，需要相应的专业性和技术性立法人才，尤其是立法预测过程需要借助现代科技手段，才能胜任立法工作。实践中，立法主体受到立法人才匱乏因素的制约，面临立法人才和专业知识不足的困境，立法准备活动开展得不尽如人意。</w:t>
            </w:r>
          </w:p>
          <w:p>
            <w:pPr>
              <w:keepNext w:val="0"/>
              <w:keepLines w:val="0"/>
              <w:pageBreakBefore w:val="0"/>
              <w:widowControl/>
              <w:kinsoku/>
              <w:wordWrap/>
              <w:overflowPunct/>
              <w:topLinePunct w:val="0"/>
              <w:autoSpaceDE/>
              <w:autoSpaceDN/>
              <w:bidi w:val="0"/>
              <w:adjustRightInd w:val="0"/>
              <w:snapToGrid w:val="0"/>
              <w:spacing w:beforeLines="0" w:after="0" w:afterLines="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十八大以来，人们就相关领域的理论与实践进行了广泛深入的探讨。例如，</w:t>
            </w:r>
            <w:r>
              <w:rPr>
                <w:rFonts w:hint="eastAsia" w:ascii="仿宋" w:hAnsi="仿宋" w:eastAsia="仿宋" w:cs="仿宋"/>
                <w:b/>
                <w:bCs/>
                <w:sz w:val="24"/>
                <w:szCs w:val="24"/>
                <w:lang w:val="en-US" w:eastAsia="zh-CN"/>
              </w:rPr>
              <w:t>《地方人大立法人才培养机制研究》</w:t>
            </w:r>
            <w:r>
              <w:rPr>
                <w:rFonts w:hint="eastAsia" w:ascii="仿宋" w:hAnsi="仿宋" w:eastAsia="仿宋" w:cs="仿宋"/>
                <w:sz w:val="24"/>
                <w:szCs w:val="24"/>
                <w:lang w:val="en-US" w:eastAsia="zh-CN"/>
              </w:rPr>
              <w:t>（</w:t>
            </w:r>
            <w:r>
              <w:rPr>
                <w:rFonts w:hint="default" w:ascii="仿宋" w:hAnsi="仿宋" w:eastAsia="仿宋" w:cs="仿宋"/>
                <w:sz w:val="24"/>
                <w:szCs w:val="24"/>
                <w:lang w:val="en-US" w:eastAsia="zh-CN"/>
              </w:rPr>
              <w:fldChar w:fldCharType="begin"/>
            </w:r>
            <w:r>
              <w:rPr>
                <w:rFonts w:hint="default" w:ascii="仿宋" w:hAnsi="仿宋" w:eastAsia="仿宋" w:cs="仿宋"/>
                <w:sz w:val="24"/>
                <w:szCs w:val="24"/>
                <w:lang w:val="en-US" w:eastAsia="zh-CN"/>
              </w:rPr>
              <w:instrText xml:space="preserve"> HYPERLINK "http://kns.cnki.net/kns/popup/knetsearchNew.aspx?sdb=CJFQ&amp;sfield=%e4%bd%9c%e8%80%85&amp;skey=%e8%83%a1%e5%bc%98%e5%bc%98&amp;scode=10471423;32050288;" \t "http://kns.cnki.net/kns/brief/knet" </w:instrText>
            </w:r>
            <w:r>
              <w:rPr>
                <w:rFonts w:hint="default" w:ascii="仿宋" w:hAnsi="仿宋" w:eastAsia="仿宋" w:cs="仿宋"/>
                <w:sz w:val="24"/>
                <w:szCs w:val="24"/>
                <w:lang w:val="en-US" w:eastAsia="zh-CN"/>
              </w:rPr>
              <w:fldChar w:fldCharType="separate"/>
            </w:r>
            <w:r>
              <w:rPr>
                <w:rFonts w:hint="default" w:ascii="仿宋" w:hAnsi="仿宋" w:eastAsia="仿宋" w:cs="仿宋"/>
                <w:sz w:val="24"/>
                <w:szCs w:val="24"/>
                <w:lang w:val="en-US" w:eastAsia="zh-CN"/>
              </w:rPr>
              <w:t>胡弘弘</w:t>
            </w:r>
            <w:r>
              <w:rPr>
                <w:rFonts w:hint="default" w:ascii="仿宋" w:hAnsi="仿宋" w:eastAsia="仿宋" w:cs="仿宋"/>
                <w:sz w:val="24"/>
                <w:szCs w:val="24"/>
                <w:lang w:val="en-US" w:eastAsia="zh-CN"/>
              </w:rPr>
              <w:fldChar w:fldCharType="end"/>
            </w:r>
            <w:r>
              <w:rPr>
                <w:rFonts w:hint="default" w:ascii="仿宋" w:hAnsi="仿宋" w:eastAsia="仿宋" w:cs="仿宋"/>
                <w:sz w:val="24"/>
                <w:szCs w:val="24"/>
                <w:lang w:val="en-US" w:eastAsia="zh-CN"/>
              </w:rPr>
              <w:t>; </w:t>
            </w:r>
            <w:r>
              <w:rPr>
                <w:rFonts w:hint="default" w:ascii="仿宋" w:hAnsi="仿宋" w:eastAsia="仿宋" w:cs="仿宋"/>
                <w:sz w:val="24"/>
                <w:szCs w:val="24"/>
                <w:lang w:val="en-US" w:eastAsia="zh-CN"/>
              </w:rPr>
              <w:fldChar w:fldCharType="begin"/>
            </w:r>
            <w:r>
              <w:rPr>
                <w:rFonts w:hint="default" w:ascii="仿宋" w:hAnsi="仿宋" w:eastAsia="仿宋" w:cs="仿宋"/>
                <w:sz w:val="24"/>
                <w:szCs w:val="24"/>
                <w:lang w:val="en-US" w:eastAsia="zh-CN"/>
              </w:rPr>
              <w:instrText xml:space="preserve"> HYPERLINK "http://kns.cnki.net/kns/popup/knetsearchNew.aspx?sdb=CJFQ&amp;sfield=%e4%bd%9c%e8%80%85&amp;skey=%e7%99%bd%e6%b0%b8%e5%b3%b0&amp;scode=10471423;32050288;" \t "http://kns.cnki.net/kns/brief/knet" </w:instrText>
            </w:r>
            <w:r>
              <w:rPr>
                <w:rFonts w:hint="default" w:ascii="仿宋" w:hAnsi="仿宋" w:eastAsia="仿宋" w:cs="仿宋"/>
                <w:sz w:val="24"/>
                <w:szCs w:val="24"/>
                <w:lang w:val="en-US" w:eastAsia="zh-CN"/>
              </w:rPr>
              <w:fldChar w:fldCharType="separate"/>
            </w:r>
            <w:r>
              <w:rPr>
                <w:rFonts w:hint="default" w:ascii="仿宋" w:hAnsi="仿宋" w:eastAsia="仿宋" w:cs="仿宋"/>
                <w:sz w:val="24"/>
                <w:szCs w:val="24"/>
                <w:lang w:val="en-US" w:eastAsia="zh-CN"/>
              </w:rPr>
              <w:t>白永峰</w:t>
            </w:r>
            <w:r>
              <w:rPr>
                <w:rFonts w:hint="default" w:ascii="仿宋" w:hAnsi="仿宋" w:eastAsia="仿宋" w:cs="仿宋"/>
                <w:sz w:val="24"/>
                <w:szCs w:val="24"/>
                <w:lang w:val="en-US" w:eastAsia="zh-CN"/>
              </w:rPr>
              <w:fldChar w:fldCharType="end"/>
            </w:r>
            <w:r>
              <w:rPr>
                <w:rFonts w:hint="eastAsia" w:ascii="仿宋" w:hAnsi="仿宋" w:eastAsia="仿宋" w:cs="仿宋"/>
                <w:sz w:val="24"/>
                <w:szCs w:val="24"/>
                <w:lang w:val="en-US" w:eastAsia="zh-CN"/>
              </w:rPr>
              <w:t xml:space="preserve"> 2015·08·15）、</w:t>
            </w:r>
            <w:r>
              <w:rPr>
                <w:rFonts w:hint="eastAsia" w:ascii="仿宋" w:hAnsi="仿宋" w:eastAsia="仿宋" w:cs="仿宋"/>
                <w:b/>
                <w:bCs/>
                <w:sz w:val="24"/>
                <w:szCs w:val="24"/>
                <w:lang w:val="en-US" w:eastAsia="zh-CN"/>
              </w:rPr>
              <w:t>《超越司法中心主义——面向全面实施依法治国的法治人才培养》</w:t>
            </w:r>
            <w:r>
              <w:rPr>
                <w:rFonts w:hint="eastAsia" w:ascii="仿宋" w:hAnsi="仿宋" w:eastAsia="仿宋" w:cs="仿宋"/>
                <w:sz w:val="24"/>
                <w:szCs w:val="24"/>
                <w:lang w:val="en-US" w:eastAsia="zh-CN"/>
              </w:rPr>
              <w:t>（邓世豹2016·07·13）、</w:t>
            </w:r>
            <w:r>
              <w:rPr>
                <w:rFonts w:hint="eastAsia" w:ascii="仿宋" w:hAnsi="仿宋" w:eastAsia="仿宋" w:cs="仿宋"/>
                <w:b/>
                <w:bCs/>
                <w:sz w:val="24"/>
                <w:szCs w:val="24"/>
                <w:lang w:val="en-US" w:eastAsia="zh-CN"/>
              </w:rPr>
              <w:t>《地方立法转型发展中的人才队伍建设问题》</w:t>
            </w:r>
            <w:r>
              <w:rPr>
                <w:rFonts w:hint="eastAsia" w:ascii="仿宋" w:hAnsi="仿宋" w:eastAsia="仿宋" w:cs="仿宋"/>
                <w:sz w:val="24"/>
                <w:szCs w:val="24"/>
                <w:lang w:val="en-US" w:eastAsia="zh-CN"/>
              </w:rPr>
              <w:t>(李喜 2017·02·28)和</w:t>
            </w:r>
            <w:r>
              <w:rPr>
                <w:rFonts w:hint="eastAsia" w:ascii="仿宋" w:hAnsi="仿宋" w:eastAsia="仿宋" w:cs="仿宋"/>
                <w:b/>
                <w:bCs/>
                <w:sz w:val="24"/>
                <w:szCs w:val="24"/>
                <w:lang w:val="en-US" w:eastAsia="zh-CN"/>
              </w:rPr>
              <w:t>《论立法人才的范围、职业素养与培养模式》</w:t>
            </w:r>
            <w:r>
              <w:rPr>
                <w:rFonts w:hint="eastAsia" w:ascii="仿宋" w:hAnsi="仿宋" w:eastAsia="仿宋" w:cs="仿宋"/>
                <w:sz w:val="24"/>
                <w:szCs w:val="24"/>
                <w:lang w:val="en-US" w:eastAsia="zh-CN"/>
              </w:rPr>
              <w:t>（李克杰 2017·08·01）。除开</w:t>
            </w:r>
            <w:r>
              <w:rPr>
                <w:rFonts w:hint="eastAsia" w:ascii="仿宋" w:hAnsi="仿宋" w:eastAsia="仿宋" w:cs="仿宋"/>
                <w:b/>
                <w:bCs/>
                <w:sz w:val="24"/>
                <w:szCs w:val="24"/>
                <w:lang w:val="en-US" w:eastAsia="zh-CN"/>
              </w:rPr>
              <w:t>《地方立法转型发展中的人才队伍建设问题研究》</w:t>
            </w:r>
            <w:r>
              <w:rPr>
                <w:rFonts w:hint="eastAsia" w:ascii="仿宋" w:hAnsi="仿宋" w:eastAsia="仿宋" w:cs="仿宋"/>
                <w:sz w:val="24"/>
                <w:szCs w:val="24"/>
                <w:lang w:val="en-US" w:eastAsia="zh-CN"/>
              </w:rPr>
              <w:t>被中国宪治网收录外,只有</w:t>
            </w:r>
            <w:r>
              <w:rPr>
                <w:rFonts w:hint="eastAsia" w:ascii="仿宋" w:hAnsi="仿宋" w:eastAsia="仿宋" w:cs="仿宋"/>
                <w:b/>
                <w:bCs/>
                <w:sz w:val="24"/>
                <w:szCs w:val="24"/>
                <w:lang w:val="en-US" w:eastAsia="zh-CN"/>
              </w:rPr>
              <w:t>《超越司法中心主义——面向全面实施依法治国的法治人才培养</w:t>
            </w:r>
            <w:r>
              <w:rPr>
                <w:rFonts w:hint="eastAsia" w:ascii="仿宋" w:hAnsi="仿宋" w:eastAsia="仿宋" w:cs="仿宋"/>
                <w:b w:val="0"/>
                <w:bCs w:val="0"/>
                <w:sz w:val="24"/>
                <w:szCs w:val="24"/>
                <w:lang w:val="en-US" w:eastAsia="zh-CN"/>
              </w:rPr>
              <w:t>》</w:t>
            </w:r>
            <w:r>
              <w:rPr>
                <w:rFonts w:hint="eastAsia" w:ascii="仿宋" w:hAnsi="仿宋" w:eastAsia="仿宋" w:cs="仿宋"/>
                <w:sz w:val="24"/>
                <w:szCs w:val="24"/>
                <w:lang w:val="en-US" w:eastAsia="zh-CN"/>
              </w:rPr>
              <w:t>一文发表于法学类核心学术期刊。</w:t>
            </w:r>
          </w:p>
          <w:p>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pPr>
            <w:r>
              <w:rPr>
                <w:rFonts w:hint="eastAsia" w:ascii="仿宋" w:hAnsi="仿宋" w:eastAsia="仿宋" w:cs="仿宋"/>
                <w:sz w:val="24"/>
                <w:szCs w:val="24"/>
                <w:lang w:val="en-US" w:eastAsia="zh-CN"/>
              </w:rPr>
              <w:t>相关领域的研究涉及立法人才培养的某些方面。例如，</w:t>
            </w:r>
          </w:p>
          <w:p>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482" w:firstLineChars="200"/>
              <w:jc w:val="left"/>
              <w:textAlignment w:val="auto"/>
            </w:pPr>
            <w:r>
              <w:rPr>
                <w:rFonts w:hint="eastAsia" w:ascii="仿宋" w:hAnsi="仿宋" w:eastAsia="仿宋" w:cs="仿宋"/>
                <w:b/>
                <w:bCs/>
                <w:sz w:val="24"/>
                <w:szCs w:val="24"/>
                <w:lang w:val="en-US" w:eastAsia="zh-CN"/>
              </w:rPr>
              <w:t>《地方人大立法人才培养机制研究》</w:t>
            </w:r>
            <w:r>
              <w:rPr>
                <w:rFonts w:hint="eastAsia" w:ascii="仿宋" w:hAnsi="仿宋" w:eastAsia="仿宋" w:cs="仿宋"/>
                <w:sz w:val="24"/>
                <w:szCs w:val="24"/>
                <w:lang w:val="en-US" w:eastAsia="zh-CN"/>
              </w:rPr>
              <w:t>一文解析了立法者、立法工作人员、第三方机构三类地方立法参与方，认为立法者的立法理念和专业化程度有待改进，立法人员的结构不尽合理，第三方参与立法的实效也不好。同时认为人大主导立法人才培养的能力已经不能满足时代需要。</w:t>
            </w:r>
          </w:p>
          <w:p>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482" w:firstLineChars="200"/>
              <w:jc w:val="left"/>
              <w:textAlignment w:val="auto"/>
            </w:pPr>
            <w:r>
              <w:rPr>
                <w:rFonts w:hint="eastAsia" w:ascii="仿宋" w:hAnsi="仿宋" w:eastAsia="仿宋" w:cs="仿宋"/>
                <w:b/>
                <w:bCs/>
                <w:sz w:val="24"/>
                <w:szCs w:val="24"/>
                <w:lang w:val="en-US" w:eastAsia="zh-CN"/>
              </w:rPr>
              <w:t>《超越司法中心主义——面向全面实施依法治国的法治人才培养》</w:t>
            </w:r>
            <w:r>
              <w:rPr>
                <w:rFonts w:hint="eastAsia" w:ascii="仿宋" w:hAnsi="仿宋" w:eastAsia="仿宋" w:cs="仿宋"/>
                <w:sz w:val="24"/>
                <w:szCs w:val="24"/>
                <w:lang w:val="en-US" w:eastAsia="zh-CN"/>
              </w:rPr>
              <w:t>一文对“法治国家所有问题都会成为法律问题，所有法律问题最终由司法解决，司法就是法治建设的制高点。”的司法浪漫主义情怀进行了批判。立法活动中的制度设计与司法活动的法律适用有很大差距，立法活动中思维方式与司法活动的思维方式、方法存在巨大差别，具有司法能力并不能反映立法活动能力。单纯以是否到司法部门工作和是否胜任司法部门工作为标准评价法学教育是扭曲的。认为国家法治建设需要大批专门立法人才，法学教育必须重视，而这又恰恰是司法中心主义下最为忽略的部分。</w:t>
            </w:r>
          </w:p>
          <w:p>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482" w:firstLineChars="200"/>
              <w:jc w:val="left"/>
              <w:textAlignment w:val="auto"/>
            </w:pPr>
            <w:r>
              <w:rPr>
                <w:rFonts w:hint="eastAsia" w:ascii="仿宋" w:hAnsi="仿宋" w:eastAsia="仿宋" w:cs="仿宋"/>
                <w:b/>
                <w:bCs/>
                <w:sz w:val="24"/>
                <w:szCs w:val="24"/>
                <w:lang w:val="en-US" w:eastAsia="zh-CN"/>
              </w:rPr>
              <w:t>《地方立法转型发展中的人才队伍建设问题》</w:t>
            </w:r>
            <w:r>
              <w:rPr>
                <w:rFonts w:hint="eastAsia" w:ascii="仿宋" w:hAnsi="仿宋" w:eastAsia="仿宋" w:cs="仿宋"/>
                <w:sz w:val="24"/>
                <w:szCs w:val="24"/>
                <w:lang w:val="en-US" w:eastAsia="zh-CN"/>
              </w:rPr>
              <w:t>一文归纳了地方人大人才队伍建设所存在的问题：一是经验不足、二是缺乏专门的立法人才选拔培养机制、三是立法人才缺乏相应的专业素质、四是立法人员缺乏转型时期的立法理念转化。</w:t>
            </w:r>
          </w:p>
          <w:p>
            <w:pPr>
              <w:keepNext w:val="0"/>
              <w:keepLines w:val="0"/>
              <w:pageBreakBefore w:val="0"/>
              <w:widowControl/>
              <w:kinsoku/>
              <w:wordWrap/>
              <w:overflowPunct/>
              <w:topLinePunct w:val="0"/>
              <w:autoSpaceDE/>
              <w:autoSpaceDN/>
              <w:bidi w:val="0"/>
              <w:adjustRightInd w:val="0"/>
              <w:snapToGrid w:val="0"/>
              <w:spacing w:beforeLines="0" w:after="0" w:afterLines="0" w:line="360" w:lineRule="auto"/>
              <w:ind w:left="0" w:leftChars="0" w:right="0" w:rightChars="0" w:firstLine="482"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《论立法人才的范围、职业素养与培养模</w:t>
            </w:r>
            <w:bookmarkStart w:id="1" w:name="_GoBack"/>
            <w:bookmarkEnd w:id="1"/>
            <w:r>
              <w:rPr>
                <w:rFonts w:hint="eastAsia" w:ascii="仿宋" w:hAnsi="仿宋" w:eastAsia="仿宋" w:cs="仿宋"/>
                <w:b/>
                <w:bCs/>
                <w:sz w:val="24"/>
                <w:szCs w:val="24"/>
                <w:lang w:val="en-US" w:eastAsia="zh-CN"/>
              </w:rPr>
              <w:t>式》</w:t>
            </w:r>
            <w:r>
              <w:rPr>
                <w:rFonts w:hint="eastAsia" w:ascii="仿宋" w:hAnsi="仿宋" w:eastAsia="仿宋" w:cs="仿宋"/>
                <w:sz w:val="24"/>
                <w:szCs w:val="24"/>
                <w:lang w:val="en-US" w:eastAsia="zh-CN"/>
              </w:rPr>
              <w:t>一文主要致力解决三大问题：一是立法人才的范围、二是一个合格的立法人才需要具备哪些基本素养、三是根据立法人才的职业素养如何设计一套科学合理的培养模式。</w:t>
            </w:r>
          </w:p>
          <w:p>
            <w:pPr>
              <w:keepNext w:val="0"/>
              <w:keepLines w:val="0"/>
              <w:pageBreakBefore w:val="0"/>
              <w:widowControl/>
              <w:kinsoku/>
              <w:wordWrap/>
              <w:overflowPunct/>
              <w:topLinePunct w:val="0"/>
              <w:autoSpaceDE/>
              <w:autoSpaceDN/>
              <w:bidi w:val="0"/>
              <w:adjustRightInd w:val="0"/>
              <w:snapToGrid w:val="0"/>
              <w:spacing w:beforeLines="0" w:after="0" w:afterLines="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相关领域前期研究形成的理论共识主要包括：一是立法主体广义上与狭义上的范围、二是造成立法人才紧缺的原因、三是立法人才需要具备哪些能力。但以上这些仅仅限于理论上的探讨，并没有实地考察的方式量化当前地方立法人才的需求程度。</w:t>
            </w:r>
          </w:p>
          <w:p>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440" w:firstLineChars="200"/>
              <w:jc w:val="left"/>
              <w:textAlignment w:val="auto"/>
            </w:pPr>
          </w:p>
          <w:p>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pPr>
            <w:r>
              <w:rPr>
                <w:rFonts w:hint="eastAsia" w:ascii="仿宋" w:hAnsi="仿宋" w:eastAsia="仿宋" w:cs="仿宋"/>
                <w:sz w:val="24"/>
                <w:szCs w:val="24"/>
                <w:lang w:val="en-US" w:eastAsia="zh-CN"/>
              </w:rPr>
              <w:t>相关领域前期研究亦存在着一定的认知分歧。例如，任刚军认为：“‘立法人才’这一概念有狭义和广义之分。狭义的立法人才是指在立法机关和政府专门从事立法项目草案的起草、审查并具有丰富立法工作经验和取得相当水平的法理研究成果的立法工作者。广义的立法人才是指除狭义的立法人才之外，还包括从事法学教学的教授、从事法学理论研究的专家学者、从事某一专业领域工作的法律工作者和在第一线从事实际具体业务工作并有一定专业理论基础和法律理论水平的管理人员、专业技术人员，以及社会各界和各行业的专家、学者。”</w:t>
            </w:r>
          </w:p>
          <w:p>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pPr>
            <w:r>
              <w:rPr>
                <w:rFonts w:hint="eastAsia" w:ascii="仿宋" w:hAnsi="仿宋" w:eastAsia="仿宋" w:cs="仿宋"/>
                <w:sz w:val="24"/>
                <w:szCs w:val="24"/>
                <w:lang w:val="en-US" w:eastAsia="zh-CN"/>
              </w:rPr>
              <w:t>胡弘弘、白永峰则认为：我国地方人大立法人才队伍包括三类人员：立法者、立法工作人员、第三方参与主体。立法者是地方人大的组成人员，直接行使立法权；立法工作人员是指不具有立法性职权，但参与立法活动、辅助立法过程的国家公职人员，在地方它主要包括地方人大常委会办事机构的工作人员、地方人大专门委员会办事机构的工作人员，以及地方政府法制机构及其工作人员等；第三方参与主体包括立法智库及被邀请参加立法的其他专业机构和人士。</w:t>
            </w:r>
          </w:p>
          <w:p>
            <w:pPr>
              <w:keepNext w:val="0"/>
              <w:keepLines w:val="0"/>
              <w:pageBreakBefore w:val="0"/>
              <w:widowControl/>
              <w:kinsoku/>
              <w:wordWrap/>
              <w:overflowPunct/>
              <w:topLinePunct w:val="0"/>
              <w:autoSpaceDE/>
              <w:autoSpaceDN/>
              <w:bidi w:val="0"/>
              <w:adjustRightInd w:val="0"/>
              <w:snapToGrid w:val="0"/>
              <w:spacing w:beforeLines="0" w:after="0" w:afterLines="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李喜也是针对地方立法人才展开论述的，在地方立法人才的类型上，持有与胡弘弘、白永峰相同的观点。</w:t>
            </w:r>
          </w:p>
          <w:p>
            <w:pPr>
              <w:keepNext w:val="0"/>
              <w:keepLines w:val="0"/>
              <w:pageBreakBefore w:val="0"/>
              <w:widowControl/>
              <w:kinsoku/>
              <w:wordWrap/>
              <w:overflowPunct/>
              <w:topLinePunct w:val="0"/>
              <w:autoSpaceDE/>
              <w:autoSpaceDN/>
              <w:bidi w:val="0"/>
              <w:adjustRightInd w:val="0"/>
              <w:snapToGrid w:val="0"/>
              <w:spacing w:beforeLines="0" w:after="0" w:afterLines="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周旺生先生没有使用“立法人才”概念，而是使用了“法案起草人”概念。他把法案起草人分为三类：一是职业起草人。一般是立法主体的专门从事法案起草或主要从事法案起草工作的人员，也包括立法主体之外的以接受委托起草为职业的机构、团体或人员。二是半职业起草人。主要是从事立法研究、经常接受邀请或委托从事法案起草或参与法案起草的立法学者、专家。三是非职业起草人。这些人往往因为专业、业务或其他某方面原因，参加或应邀参加法案起草的人员，一般仅限参加某项特定法案起草。</w:t>
            </w:r>
          </w:p>
          <w:p>
            <w:pPr>
              <w:keepNext w:val="0"/>
              <w:keepLines w:val="0"/>
              <w:pageBreakBefore w:val="0"/>
              <w:widowControl/>
              <w:kinsoku/>
              <w:wordWrap/>
              <w:overflowPunct/>
              <w:topLinePunct w:val="0"/>
              <w:autoSpaceDE/>
              <w:autoSpaceDN/>
              <w:bidi w:val="0"/>
              <w:adjustRightInd w:val="0"/>
              <w:snapToGrid w:val="0"/>
              <w:spacing w:beforeLines="0" w:after="0" w:afterLines="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李克杰认为：立法人才的本质特征应当是从事立法工作。因而，立法人才应当符合以下几个基本条件：一是必须在立法主体供职，或者在有立法提案权的主体供职；二是必须为前述主体中的立法职业人员，即以立法为职业或主要以立法为职业；三是必须为具备法律专业知识、掌握立法理论和立法技术的专业人员。接受立法主体委托或者受邀请为完成特定立法项目而主持或参与立法的专家、学者，不应归入立法人才范围。具体范围指：（1）有立法权的人大常委会法制工作机构的工作人员；（2）有立法权的人大专门委员会工作机构的工作人员；（3）有立法权或立法提案权的人民政府法制机构的工作人员；（4）有立法权或立法提案权的政府职能部门法制机构的工作人员。需要特别指出的是，立法人才范围中不包括立法主体的组成人员即立法者，比如有立法权的人大代表、人大常委会委员，有立法权的人民政府常务会议或全体会议成员、部门部委会议或者委员会会议成员，因为他们的法定产生机制决定了他们并不必然是掌握法律和立法知识的专业人员。</w:t>
            </w:r>
          </w:p>
          <w:p>
            <w:pPr>
              <w:keepNext w:val="0"/>
              <w:keepLines w:val="0"/>
              <w:pageBreakBefore w:val="0"/>
              <w:widowControl/>
              <w:kinsoku/>
              <w:wordWrap/>
              <w:overflowPunct/>
              <w:topLinePunct w:val="0"/>
              <w:autoSpaceDE/>
              <w:autoSpaceDN/>
              <w:bidi w:val="0"/>
              <w:adjustRightInd w:val="0"/>
              <w:snapToGrid w:val="0"/>
              <w:spacing w:beforeLines="0" w:after="0" w:afterLines="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可见，相关领域的研究有一个共同点，即任刚军的狭义立法人才、胡弘弘的立法工作人员、周旺生的职业起草人、李克杰的立法人才在指向对象的范围上基本是同一的。从本质上看，这三个不同概念涵盖的人员范围均包括我国立法主体中专门或主要从事法案起草、修改、审查工作的人员。相关领域的理论纷争需要进一步澄清，相关的理论探讨需要进一步深入展开，相关的对策措施需要进一步论证和探索。</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课题拟以中部省份湖南省内13个设区的市、1个自治州和部分自治县的立法机关的立法能力、立法质量、运行状况、人才队伍建设的状况开展深入细致的实证调研，同时以湘潭大学法学院、中南大学法学院、湖南大学法学院和湖南师范大学法学院四所湖南省内法学强校为主要考察样本，深入了解高校有关复合型法学人才和应用型立法人才的培养情况和储备情况，总结当前高校法学教育中立法人才培养的成功经验，查找其中存在的问题，分析未来的发展趋势，形成相应的对策建议和理论成果。就此而言，本课题研究视角新颖、样本典型、方法独特，其结论可靠且具有特殊的理论借鉴价值和现实指导意义。</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p>
          <w:p>
            <w:pPr>
              <w:keepNext w:val="0"/>
              <w:keepLines w:val="0"/>
              <w:pageBreakBefore w:val="0"/>
              <w:widowControl/>
              <w:kinsoku/>
              <w:wordWrap/>
              <w:overflowPunct/>
              <w:topLinePunct w:val="0"/>
              <w:autoSpaceDE/>
              <w:autoSpaceDN/>
              <w:bidi w:val="0"/>
              <w:adjustRightInd w:val="0"/>
              <w:snapToGrid w:val="0"/>
              <w:spacing w:after="200" w:line="360" w:lineRule="auto"/>
              <w:ind w:right="0" w:rightChars="0"/>
              <w:jc w:val="left"/>
              <w:textAlignment w:val="auto"/>
              <w:outlineLvl w:val="9"/>
              <w:rPr>
                <w:rFonts w:hint="eastAsia" w:ascii="仿宋" w:hAnsi="仿宋" w:eastAsia="仿宋" w:cs="仿宋"/>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5" w:hRule="atLeast"/>
          <w:jc w:val="center"/>
        </w:trPr>
        <w:tc>
          <w:tcPr>
            <w:tcW w:w="9366" w:type="dxa"/>
            <w:gridSpan w:val="8"/>
            <w:vAlign w:val="top"/>
          </w:tcPr>
          <w:p>
            <w:pPr>
              <w:spacing w:line="360" w:lineRule="auto"/>
              <w:rPr>
                <w:rFonts w:eastAsia="楷体_GB2312"/>
                <w:sz w:val="28"/>
                <w:szCs w:val="28"/>
              </w:rPr>
            </w:pPr>
            <w:r>
              <w:rPr>
                <w:rFonts w:hint="eastAsia" w:eastAsia="楷体_GB2312"/>
                <w:sz w:val="28"/>
                <w:szCs w:val="28"/>
              </w:rPr>
              <w:t>本项目学生有关的研究积累和已取得的成绩</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通过查找收集相关资料，并登陆地方政府人大等有关网站，认识到在新《立法法》发布并生效后，各地因为缺乏相关法学人才及制定地方法规的经验，在制定有关某些与民生密切相关的立法方面捉襟见肘。</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同时，通过与指导老师及相关立法人士的交流中发现现对于地方法学人才的培养模式在促进学生在立法及提出政策建议方面等有所欠缺，大多数学生毕业后未能就地方立法工作发挥应有的作用。湖南省在新《立法法》颁布之前，已有湘西自治州及长沙等较大的市有地方立法权，在新《立法法》颁布之后又新增了13个设区的市，相较于其他省份具有典型性。湘潭大学拥有国家级法学人才培养模式创新区，可积极探索地方法学人才培养模式。</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湘潭大学法学专业创办于1982年，是湖南省创办最早的法学专业。湘潭大学法学院是湖南省师资力量最强、学科门类最全、招生规模最大、教育层次最齐全的法学院系之一。法学院拥有法学一级学科博士后科研流动站、法学一级学科博士学位授权点、法学一级学科硕士学位授权点和法律专业硕士学位授权点。拥有湖南省法学理论研究基地等3个省级社会科学重点研究基地，拥有全国惟一的“中国—非洲法律理论研究与人才培训基地”。拥有国家级“卓越法律人才教育培养基地（应用型复合型）”、国家级法学特色专业建设点、国家级人才培养模式创新实验区、国家级实验教学示范中心建设单位、湖南省首批“2011”协同创新中心——“法治湖南建设与区域社会治理协同创新中心”。拥有8000余平方米的独立办公楼，集教学、科研、办公于一体；拥有600余平方米的专业图书馆，中外文藏书约15万册；拥有法学界最权威的Lexis.Nexis、Westlaw International和Heinonline数据库。</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课题研究依托湘潭大学法学院“国家级法学人才培养模式创新试验区”、“国家级普通高校专业综合改革试点”、“国家级卓越法律职业人才教育培养基地”等国家级人才培养平台。探索地方立法人才培养新模式，建立省级立法研究中心、省级立法理论研究基地。创新性设计课程体系，通过高校、人大两方方协同培养，构建一套以法学、政治学和行政学两学科交融为显著特色的立法复合型人才培养新模式，形成本科、硕士、博士三个层次的人才培养体系。根据《中共中央关于全面深化改革若干重大问题的决定》加强“国家治理体系和治理能力现代化”的要求，以加强立法队伍建设、培养高素质立法人才为办学宗旨，积极服务“法治中国”建设。</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同时将地方立法学作为一门新兴的综合性应用学科。融合法学、经济学、工商管理学、社会学、心理学等多种学科相关的知识和方法，创立一个全新的知识框架，用社会科学的方法研究法律问题，以适应地方经济社会发展的迫切需要。地方立法学可以相当程度地影响着法学的发展和研究方向，是一个能综合运用各种知识和方法来研究立法系统、立法对象和立法过程，提供立法相关知识，最终改善立法系统，提高立法质量，积极推动地方立法工作进程的学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9" w:hRule="atLeast"/>
          <w:jc w:val="center"/>
        </w:trPr>
        <w:tc>
          <w:tcPr>
            <w:tcW w:w="9366" w:type="dxa"/>
            <w:gridSpan w:val="8"/>
            <w:vAlign w:val="top"/>
          </w:tcPr>
          <w:p>
            <w:pPr>
              <w:spacing w:line="360" w:lineRule="auto"/>
              <w:rPr>
                <w:rFonts w:eastAsia="楷体_GB2312"/>
                <w:sz w:val="28"/>
                <w:szCs w:val="28"/>
              </w:rPr>
            </w:pPr>
            <w:r>
              <w:rPr>
                <w:rFonts w:hint="eastAsia" w:eastAsia="楷体_GB2312"/>
                <w:sz w:val="28"/>
                <w:szCs w:val="28"/>
              </w:rPr>
              <w:t>项目的创新点和特色</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本项目的特色和创新之处主要体现在以下几点方面：</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（1）项目选题的前沿性和实用性：一是研究领域鲜人问津；二是研究方向对接新时代立法需求；三是研究内容对地方立法具有较强的总结和提升作用。</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研究对象的典型性和全面性：湖南省的立法主体不但有省级人大及其常委会，还有较大的市（长沙）、第一批获得立法权的7个地级市和第二批获得立法权的立5个地级市、1个自治州和7个自治县共五个层级，多样化的立法主体层级能给调研团队提供较全面的决策依据。</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（3）研究手段的多样性：既有对地方法治的理论研究，也有对立法主体的实证研究。既有访问调查法、问卷调查法等直接调查手段，也有文献调查法、网络调查法等间接手段。</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（4）研究目的的独特性：在法学人才教育“司法中心主义”大行其道的今天，以当前立法人才的供需程度、质量要求为切入点，反思法学教育和和地方法学人才状况，探索新型的人才培养模式。</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eastAsia="楷体_GB2312"/>
                <w:sz w:val="28"/>
                <w:szCs w:val="28"/>
              </w:rPr>
            </w:pPr>
            <w:r>
              <w:rPr>
                <w:rFonts w:hint="eastAsia" w:ascii="仿宋" w:hAnsi="仿宋" w:eastAsia="仿宋" w:cs="仿宋"/>
                <w:sz w:val="24"/>
                <w:szCs w:val="24"/>
                <w:lang w:val="en-US" w:eastAsia="zh-CN"/>
              </w:rPr>
              <w:t>（5）涉及学科的多样性：评估地方法规科学性需要利用法学专业知识、评估地方需要用到政治学和行政学的知识、研究地方立法人才队伍的构成与建设需要用到社会学和人力资源管理的知识。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6" w:hRule="atLeast"/>
          <w:jc w:val="center"/>
        </w:trPr>
        <w:tc>
          <w:tcPr>
            <w:tcW w:w="9366" w:type="dxa"/>
            <w:gridSpan w:val="8"/>
            <w:vAlign w:val="top"/>
          </w:tcPr>
          <w:p>
            <w:pPr>
              <w:spacing w:line="360" w:lineRule="auto"/>
              <w:rPr>
                <w:rFonts w:eastAsia="楷体_GB2312"/>
                <w:sz w:val="28"/>
                <w:szCs w:val="28"/>
              </w:rPr>
            </w:pPr>
            <w:r>
              <w:rPr>
                <w:rFonts w:hint="eastAsia" w:eastAsia="楷体_GB2312"/>
                <w:sz w:val="28"/>
                <w:szCs w:val="28"/>
              </w:rPr>
              <w:t>项目的技术路线及预期成果</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技术路线：</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（1）广泛收集查阅国内相关文献与资料，对比国内10个国家级法学人才培养模式创新实验区的运营质量，了解国内主要法学院的创新性人才培养模式，把握法学复合型人才培养的研究动向；</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（2）收集十八大以来，特别是2015年新《立法法》出台以来，湖南省各市州立法工作实践（目标、进度、成果）；</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（3）实地调研湖南省各市州立法机关的立法能力、运行状况和立法质量并进行比较，估算地方立法人才质量和数量的需求，总结今后立法工作趋势；</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（4）调研湖南省主要高校法学院人才培养模式，并与地方人才需求进行对比分析；</w:t>
            </w: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（5）根据调研成果设计适应目前国内立法需要的人才培养模式；</w:t>
            </w: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（6）分许项目研究中存在问题，提出未来工作展望。</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预期结果：</w:t>
            </w: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（1）提交项目总体报告；</w:t>
            </w: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（2）制作2015年《立法法》实施以来湖南省各市州立法文献汇编；</w:t>
            </w: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（3）以“湖南省关于设区的市开展地方立法工作的若干问题研究”为主题，制作调研报告2-3篇；</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（4）撰写2-5篇学术论文，其主题涉及到“社科法学理论的若干思考”、“高校法学复合型人才和立法人才培养的若干思考”等多个主题，学有余力还可以顺带对湖南省地方立法工作前沿问题展开研究。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6" w:hRule="atLeast"/>
          <w:jc w:val="center"/>
        </w:trPr>
        <w:tc>
          <w:tcPr>
            <w:tcW w:w="9366" w:type="dxa"/>
            <w:gridSpan w:val="8"/>
            <w:vAlign w:val="top"/>
          </w:tcPr>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560" w:firstLineChars="200"/>
              <w:jc w:val="left"/>
              <w:textAlignment w:val="auto"/>
              <w:outlineLvl w:val="9"/>
              <w:rPr>
                <w:rFonts w:hint="eastAsia" w:eastAsia="楷体_GB2312"/>
                <w:sz w:val="28"/>
                <w:szCs w:val="28"/>
              </w:rPr>
            </w:pPr>
            <w:r>
              <w:rPr>
                <w:rFonts w:hint="eastAsia" w:eastAsia="楷体_GB2312"/>
                <w:sz w:val="28"/>
                <w:szCs w:val="28"/>
              </w:rPr>
              <w:t>年度目标和工作内容（分年</w:t>
            </w:r>
            <w:r>
              <w:rPr>
                <w:rFonts w:hint="eastAsia" w:eastAsia="楷体_GB2312"/>
                <w:sz w:val="28"/>
                <w:szCs w:val="28"/>
                <w:lang w:val="en-US" w:eastAsia="zh-CN"/>
              </w:rPr>
              <w:t>度</w:t>
            </w:r>
            <w:r>
              <w:rPr>
                <w:rFonts w:hint="eastAsia" w:eastAsia="楷体_GB2312"/>
                <w:sz w:val="28"/>
                <w:szCs w:val="28"/>
              </w:rPr>
              <w:t>写）</w:t>
            </w: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2018年度：</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2018年3月-6月： ①收集国内文献，研究国内主要法学院的创新性人才培养模式，对比国内10个国家级法学人才培养模式创新实验区的运营质量，把握法学复合型人才培养的研究动向，学习国内法学复合型人才培养的先进典型；</w:t>
            </w:r>
          </w:p>
          <w:p>
            <w:pPr>
              <w:keepNext w:val="0"/>
              <w:keepLines w:val="0"/>
              <w:pageBreakBefore w:val="0"/>
              <w:widowControl/>
              <w:kinsoku/>
              <w:wordWrap/>
              <w:overflowPunct/>
              <w:topLinePunct w:val="0"/>
              <w:autoSpaceDE/>
              <w:autoSpaceDN/>
              <w:bidi w:val="0"/>
              <w:adjustRightInd w:val="0"/>
              <w:snapToGrid w:val="0"/>
              <w:spacing w:after="200" w:line="360" w:lineRule="auto"/>
              <w:ind w:right="0" w:rightChars="0" w:firstLine="2640" w:firstLineChars="11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②上网关注湖南省各级人大政府网站，收集十八大以来，特别是15年新《立法法》出台以来，湖南省各市州立法工作实践（重点关注立法规划、目标、进度和成果）；</w:t>
            </w: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2640" w:firstLineChars="11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③设计暑期调研项目方案，做好暑期调研的问卷调查表。</w:t>
            </w: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p>
          <w:p>
            <w:pPr>
              <w:keepNext w:val="0"/>
              <w:keepLines w:val="0"/>
              <w:pageBreakBefore w:val="0"/>
              <w:widowControl/>
              <w:kinsoku/>
              <w:wordWrap/>
              <w:overflowPunct/>
              <w:topLinePunct w:val="0"/>
              <w:autoSpaceDE/>
              <w:autoSpaceDN/>
              <w:bidi w:val="0"/>
              <w:adjustRightInd w:val="0"/>
              <w:snapToGrid w:val="0"/>
              <w:spacing w:after="200" w:line="360" w:lineRule="auto"/>
              <w:ind w:left="0" w:leftChars="0" w:right="0" w:rightChars="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2018年7 月-8月：深入湖南省各大地市州，联系当地立法相关人员，通过问卷调查，实地调查，信函调查以及采访人大立法人员等方式进行调研，对湖南各地方立法机关的立法能力、运行状况、立法质量进行比较，估算地方立法人才质量和数量的需求，总结今后立法工作趋势；</w:t>
            </w: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2018年9月：开始撰写调研报告的工作；</w:t>
            </w: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2018年10月：以湘潭大学法学院、中南大学法学院、湖南大学法学院和湖南师范大学法学院四所湖南省内法学强校为主要考察对象，深入了解高校有关复合型法学人才和应用型立法人才的培养情况和储备情况，总结当前高校法学教育中立法人才培养的成功经验，查找其中存在的问题，分析未来的发展趋势；</w:t>
            </w: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2018年11月：就地方立法人才需求与高校法学院人才培养模式进行对比研究；</w:t>
            </w: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2018年12月：设计并论证适应目前国内立法需要的人才培养和评估体系。</w:t>
            </w: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2019年度：</w:t>
            </w: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2019年1月-3月：研究成果汇总，撰写相关学术论文；</w:t>
            </w: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200" w:line="360" w:lineRule="auto"/>
              <w:ind w:leftChars="200" w:right="0" w:rightChars="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2019年4月：撰写并提交总结报告，结题。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6" w:hRule="atLeast"/>
          <w:jc w:val="center"/>
        </w:trPr>
        <w:tc>
          <w:tcPr>
            <w:tcW w:w="9366" w:type="dxa"/>
            <w:gridSpan w:val="8"/>
            <w:vAlign w:val="top"/>
          </w:tcPr>
          <w:p>
            <w:pPr>
              <w:spacing w:line="360" w:lineRule="auto"/>
              <w:rPr>
                <w:rFonts w:eastAsia="楷体_GB2312"/>
                <w:sz w:val="28"/>
                <w:szCs w:val="28"/>
              </w:rPr>
            </w:pPr>
            <w:r>
              <w:rPr>
                <w:rFonts w:hint="eastAsia" w:eastAsia="楷体_GB2312"/>
                <w:sz w:val="28"/>
                <w:szCs w:val="28"/>
              </w:rPr>
              <w:t>指导教师意见</w:t>
            </w:r>
          </w:p>
          <w:p>
            <w:pPr>
              <w:spacing w:beforeLines="0" w:after="0" w:afterLines="0" w:line="360" w:lineRule="auto"/>
              <w:ind w:firstLine="480" w:firstLineChars="200"/>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课题选题新颖、视角独特、方法得当，研究思路清晰，研究方案切实可行。课题组成员均为湘潭大学优秀本科生，前期准备工作做得扎实充分。本课题问题意识明确。相关研究有利于破解全面深化改革对地方立法的实际需求与目前我国各级地方立法机关立法能力不匹配，以及高等法学教育对立法人才培养关注不够的问题；课题针对《立法法》（2015年修改）赋予设区的市以立法权，立法人才需求增长与供给不足的问题，重点针对我国当前地方立法机关目前存在的立法人才储备不足、人员专业和学理结构不合理，以及地方立法职业队伍建设中的某些不足之处，提出相应的意见和建议。同时针对国内高等法学教育人才培养体系中长期以来受“司法中心主义”导致的立法人才培养的薄弱环节，提出相应的对策建议。具有重要的理论和实践价值。</w:t>
            </w:r>
          </w:p>
          <w:p>
            <w:pPr>
              <w:spacing w:line="360" w:lineRule="auto"/>
              <w:ind w:firstLine="480" w:firstLineChars="200"/>
            </w:pPr>
            <w:r>
              <w:rPr>
                <w:rFonts w:hint="eastAsia" w:ascii="仿宋" w:hAnsi="仿宋" w:eastAsia="仿宋" w:cs="仿宋"/>
                <w:sz w:val="24"/>
                <w:szCs w:val="24"/>
                <w:lang w:val="en-US" w:eastAsia="zh-CN"/>
              </w:rPr>
              <w:t>本人愿意为本课题研究提供全过程指导。特此推荐。请予批准立项。</w:t>
            </w:r>
          </w:p>
          <w:p>
            <w:pPr>
              <w:spacing w:line="360" w:lineRule="auto"/>
              <w:rPr>
                <w:rFonts w:eastAsia="楷体_GB2312"/>
                <w:sz w:val="28"/>
                <w:szCs w:val="28"/>
              </w:rPr>
            </w:pPr>
          </w:p>
          <w:p>
            <w:pPr>
              <w:spacing w:line="360" w:lineRule="auto"/>
              <w:rPr>
                <w:rFonts w:eastAsia="楷体_GB2312"/>
                <w:sz w:val="28"/>
                <w:szCs w:val="28"/>
              </w:rPr>
            </w:pPr>
            <w:r>
              <w:rPr>
                <w:rFonts w:eastAsia="楷体_GB2312"/>
                <w:sz w:val="28"/>
                <w:szCs w:val="28"/>
              </w:rPr>
              <w:t xml:space="preserve">                        </w:t>
            </w:r>
            <w:r>
              <w:rPr>
                <w:rFonts w:hint="eastAsia" w:eastAsia="楷体_GB2312"/>
                <w:sz w:val="28"/>
                <w:szCs w:val="28"/>
              </w:rPr>
              <w:t>签字：</w:t>
            </w:r>
            <w:r>
              <w:rPr>
                <w:rFonts w:eastAsia="楷体_GB2312"/>
                <w:sz w:val="28"/>
                <w:szCs w:val="28"/>
              </w:rPr>
              <w:t xml:space="preserve">                 </w:t>
            </w:r>
            <w:r>
              <w:rPr>
                <w:rFonts w:hint="eastAsia" w:eastAsia="楷体_GB2312"/>
                <w:sz w:val="28"/>
                <w:szCs w:val="28"/>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6" w:hRule="atLeast"/>
          <w:jc w:val="center"/>
        </w:trPr>
        <w:tc>
          <w:tcPr>
            <w:tcW w:w="9366" w:type="dxa"/>
            <w:gridSpan w:val="8"/>
            <w:vAlign w:val="top"/>
          </w:tcPr>
          <w:p>
            <w:pPr>
              <w:spacing w:line="360" w:lineRule="auto"/>
              <w:rPr>
                <w:rFonts w:eastAsia="楷体_GB2312"/>
                <w:sz w:val="28"/>
                <w:szCs w:val="28"/>
              </w:rPr>
            </w:pPr>
            <w:r>
              <w:rPr>
                <w:rFonts w:hint="eastAsia" w:eastAsia="楷体_GB2312"/>
                <w:sz w:val="28"/>
                <w:szCs w:val="28"/>
              </w:rPr>
              <w:t>学院推荐意见</w:t>
            </w:r>
            <w:r>
              <w:rPr>
                <w:rFonts w:eastAsia="楷体_GB2312"/>
                <w:sz w:val="28"/>
                <w:szCs w:val="28"/>
              </w:rPr>
              <w:t xml:space="preserve">     </w:t>
            </w:r>
          </w:p>
          <w:p>
            <w:pPr>
              <w:spacing w:line="360" w:lineRule="auto"/>
              <w:rPr>
                <w:rFonts w:eastAsia="楷体_GB2312"/>
                <w:sz w:val="28"/>
                <w:szCs w:val="28"/>
              </w:rPr>
            </w:pPr>
          </w:p>
          <w:p>
            <w:pPr>
              <w:spacing w:line="360" w:lineRule="auto"/>
              <w:rPr>
                <w:rFonts w:eastAsia="楷体_GB2312"/>
                <w:sz w:val="28"/>
                <w:szCs w:val="28"/>
              </w:rPr>
            </w:pPr>
          </w:p>
          <w:p>
            <w:pPr>
              <w:spacing w:line="360" w:lineRule="auto"/>
              <w:rPr>
                <w:rFonts w:eastAsia="楷体_GB2312"/>
                <w:sz w:val="28"/>
                <w:szCs w:val="28"/>
              </w:rPr>
            </w:pPr>
          </w:p>
          <w:p>
            <w:pPr>
              <w:spacing w:line="360" w:lineRule="auto"/>
              <w:rPr>
                <w:rFonts w:eastAsia="楷体_GB2312"/>
                <w:sz w:val="28"/>
                <w:szCs w:val="28"/>
              </w:rPr>
            </w:pPr>
          </w:p>
          <w:p>
            <w:pPr>
              <w:spacing w:line="360" w:lineRule="auto"/>
              <w:rPr>
                <w:rFonts w:eastAsia="楷体_GB2312"/>
                <w:sz w:val="28"/>
                <w:szCs w:val="28"/>
              </w:rPr>
            </w:pPr>
          </w:p>
          <w:p>
            <w:pPr>
              <w:spacing w:line="360" w:lineRule="auto"/>
              <w:ind w:firstLine="3360" w:firstLineChars="1200"/>
              <w:rPr>
                <w:rFonts w:eastAsia="楷体_GB2312"/>
                <w:b/>
                <w:bCs/>
                <w:sz w:val="28"/>
                <w:szCs w:val="28"/>
              </w:rPr>
            </w:pPr>
            <w:r>
              <w:rPr>
                <w:rFonts w:hint="eastAsia" w:eastAsia="楷体_GB2312"/>
                <w:sz w:val="28"/>
                <w:szCs w:val="28"/>
              </w:rPr>
              <w:t>签字（盖章）：</w:t>
            </w:r>
            <w:r>
              <w:rPr>
                <w:rFonts w:eastAsia="楷体_GB2312"/>
                <w:sz w:val="28"/>
                <w:szCs w:val="28"/>
              </w:rPr>
              <w:t xml:space="preserve">                 </w:t>
            </w:r>
            <w:r>
              <w:rPr>
                <w:rFonts w:hint="eastAsia" w:eastAsia="楷体_GB2312"/>
                <w:sz w:val="28"/>
                <w:szCs w:val="28"/>
              </w:rPr>
              <w:t>日期：</w:t>
            </w:r>
          </w:p>
        </w:tc>
      </w:tr>
    </w:tbl>
    <w:p>
      <w:pPr>
        <w:rPr>
          <w:sz w:val="28"/>
          <w:szCs w:val="28"/>
        </w:rPr>
      </w:pPr>
      <w:r>
        <w:rPr>
          <w:rFonts w:hint="eastAsia" w:eastAsia="楷体_GB2312"/>
          <w:sz w:val="28"/>
          <w:szCs w:val="28"/>
        </w:rPr>
        <w:t>注：本表空栏不够可另附纸张。</w:t>
      </w:r>
    </w:p>
    <w:sectPr>
      <w:headerReference r:id="rId5" w:type="first"/>
      <w:footerReference r:id="rId8" w:type="first"/>
      <w:headerReference r:id="rId3" w:type="default"/>
      <w:footerReference r:id="rId6" w:type="default"/>
      <w:headerReference r:id="rId4" w:type="even"/>
      <w:footerReference r:id="rId7" w:type="even"/>
      <w:pgSz w:w="11906" w:h="16838"/>
      <w:pgMar w:top="1418" w:right="1134" w:bottom="1134" w:left="1134" w:header="0" w:footer="0"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auto"/>
    <w:pitch w:val="default"/>
    <w:sig w:usb0="00000000" w:usb1="00000000" w:usb2="00000010" w:usb3="00000000" w:csb0="00040000" w:csb1="00000000"/>
  </w:font>
  <w:font w:name="Verdana">
    <w:panose1 w:val="020B0604030504040204"/>
    <w:charset w:val="00"/>
    <w:family w:val="auto"/>
    <w:pitch w:val="default"/>
    <w:sig w:usb0="A10006FF" w:usb1="4000205B" w:usb2="00000010" w:usb3="00000000" w:csb0="2000019F" w:csb1="00000000"/>
  </w:font>
  <w:font w:name="MS Mincho">
    <w:panose1 w:val="02020609040205080304"/>
    <w:charset w:val="80"/>
    <w:family w:val="auto"/>
    <w:pitch w:val="default"/>
    <w:sig w:usb0="A00002BF" w:usb1="68C7FCFB" w:usb2="00000010" w:usb3="00000000" w:csb0="4002009F" w:csb1="DFD70000"/>
  </w:font>
  <w:font w:name="楷体_GB2312">
    <w:altName w:val="楷体"/>
    <w:panose1 w:val="00000000000000000000"/>
    <w:charset w:val="86"/>
    <w:family w:val="auto"/>
    <w:pitch w:val="default"/>
    <w:sig w:usb0="00000000" w:usb1="00000000" w:usb2="00000010" w:usb3="00000000" w:csb0="00040000" w:csb1="00000000"/>
  </w:font>
  <w:font w:name="font-weight : 400">
    <w:altName w:val="Segoe Print"/>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noLineBreaksAfter w:lang="zh-CN" w:val="$([{£¥·‘“〈《「『【〔〖〝﹙﹛﹝＄（．［｛￡￥"/>
  <w:noLineBreaksBefore w:lang="zh-CN" w:val="!%),.:;&gt;?]}¢¨°·ˇˉ―‖’”…‰′″›℃∶、。〃〉》」』】〕〗〞︶︺︾﹀﹄﹚﹜﹞！＂％＇），．：；？］｀｜｝～￠"/>
  <w:compat>
    <w:spaceForUL/>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AFA"/>
    <w:rsid w:val="00010A92"/>
    <w:rsid w:val="00030951"/>
    <w:rsid w:val="0005400F"/>
    <w:rsid w:val="0007730D"/>
    <w:rsid w:val="00096A05"/>
    <w:rsid w:val="000D0007"/>
    <w:rsid w:val="00113891"/>
    <w:rsid w:val="001252E8"/>
    <w:rsid w:val="001331FF"/>
    <w:rsid w:val="00151B77"/>
    <w:rsid w:val="0016531A"/>
    <w:rsid w:val="001D6C7E"/>
    <w:rsid w:val="001E3464"/>
    <w:rsid w:val="001E4E2A"/>
    <w:rsid w:val="00205956"/>
    <w:rsid w:val="00206C97"/>
    <w:rsid w:val="00211299"/>
    <w:rsid w:val="00254896"/>
    <w:rsid w:val="002B78CB"/>
    <w:rsid w:val="002D3A03"/>
    <w:rsid w:val="002D6F49"/>
    <w:rsid w:val="002E3004"/>
    <w:rsid w:val="002F0673"/>
    <w:rsid w:val="002F663A"/>
    <w:rsid w:val="003034B4"/>
    <w:rsid w:val="00306585"/>
    <w:rsid w:val="0031061E"/>
    <w:rsid w:val="00312C34"/>
    <w:rsid w:val="00317F19"/>
    <w:rsid w:val="00323B43"/>
    <w:rsid w:val="00361B13"/>
    <w:rsid w:val="0036556A"/>
    <w:rsid w:val="00374AF8"/>
    <w:rsid w:val="003917DC"/>
    <w:rsid w:val="003A0FA5"/>
    <w:rsid w:val="003C3268"/>
    <w:rsid w:val="003D37D8"/>
    <w:rsid w:val="003F6C42"/>
    <w:rsid w:val="00423FEC"/>
    <w:rsid w:val="00426133"/>
    <w:rsid w:val="00427B72"/>
    <w:rsid w:val="004358AB"/>
    <w:rsid w:val="00440BBF"/>
    <w:rsid w:val="00451A97"/>
    <w:rsid w:val="00466F76"/>
    <w:rsid w:val="00476761"/>
    <w:rsid w:val="00492156"/>
    <w:rsid w:val="004C6435"/>
    <w:rsid w:val="004F5730"/>
    <w:rsid w:val="005162B4"/>
    <w:rsid w:val="005423E9"/>
    <w:rsid w:val="00555941"/>
    <w:rsid w:val="005652A4"/>
    <w:rsid w:val="00575E7F"/>
    <w:rsid w:val="00577966"/>
    <w:rsid w:val="00582D29"/>
    <w:rsid w:val="005834D3"/>
    <w:rsid w:val="005A6A1D"/>
    <w:rsid w:val="005C7C4B"/>
    <w:rsid w:val="005D3B0C"/>
    <w:rsid w:val="005E4E3D"/>
    <w:rsid w:val="005E6D2F"/>
    <w:rsid w:val="006149B8"/>
    <w:rsid w:val="00615A2A"/>
    <w:rsid w:val="006223BC"/>
    <w:rsid w:val="00625430"/>
    <w:rsid w:val="006378FC"/>
    <w:rsid w:val="00670401"/>
    <w:rsid w:val="0068120A"/>
    <w:rsid w:val="006856E9"/>
    <w:rsid w:val="006F7888"/>
    <w:rsid w:val="00710AC9"/>
    <w:rsid w:val="00720A19"/>
    <w:rsid w:val="00722A89"/>
    <w:rsid w:val="00732204"/>
    <w:rsid w:val="00733A35"/>
    <w:rsid w:val="00754687"/>
    <w:rsid w:val="0077065A"/>
    <w:rsid w:val="00780996"/>
    <w:rsid w:val="007A096E"/>
    <w:rsid w:val="007A1C56"/>
    <w:rsid w:val="007A3FAB"/>
    <w:rsid w:val="007A51F0"/>
    <w:rsid w:val="007A630A"/>
    <w:rsid w:val="007C329F"/>
    <w:rsid w:val="007E5ED5"/>
    <w:rsid w:val="008050F4"/>
    <w:rsid w:val="00806E72"/>
    <w:rsid w:val="00810198"/>
    <w:rsid w:val="0084604C"/>
    <w:rsid w:val="0085127E"/>
    <w:rsid w:val="00851B48"/>
    <w:rsid w:val="00854581"/>
    <w:rsid w:val="00857299"/>
    <w:rsid w:val="00860623"/>
    <w:rsid w:val="00862577"/>
    <w:rsid w:val="00867ACC"/>
    <w:rsid w:val="00870487"/>
    <w:rsid w:val="008764C5"/>
    <w:rsid w:val="00886EE9"/>
    <w:rsid w:val="008B7726"/>
    <w:rsid w:val="008E7F83"/>
    <w:rsid w:val="008F79ED"/>
    <w:rsid w:val="00900B78"/>
    <w:rsid w:val="009106F1"/>
    <w:rsid w:val="009225C8"/>
    <w:rsid w:val="009412E8"/>
    <w:rsid w:val="00945CCA"/>
    <w:rsid w:val="00951C60"/>
    <w:rsid w:val="0098205A"/>
    <w:rsid w:val="009B1EA6"/>
    <w:rsid w:val="009B604D"/>
    <w:rsid w:val="009C3F1A"/>
    <w:rsid w:val="009C4293"/>
    <w:rsid w:val="009D0BAC"/>
    <w:rsid w:val="009D3DF1"/>
    <w:rsid w:val="009E5795"/>
    <w:rsid w:val="009F02F8"/>
    <w:rsid w:val="00A64455"/>
    <w:rsid w:val="00A8591F"/>
    <w:rsid w:val="00AC1F0B"/>
    <w:rsid w:val="00AF1CA1"/>
    <w:rsid w:val="00AF76C6"/>
    <w:rsid w:val="00B20D9E"/>
    <w:rsid w:val="00B6666C"/>
    <w:rsid w:val="00B93C63"/>
    <w:rsid w:val="00B970DC"/>
    <w:rsid w:val="00BD6AEF"/>
    <w:rsid w:val="00BD729A"/>
    <w:rsid w:val="00BE2805"/>
    <w:rsid w:val="00C13F64"/>
    <w:rsid w:val="00C25ABB"/>
    <w:rsid w:val="00C34900"/>
    <w:rsid w:val="00C35006"/>
    <w:rsid w:val="00C57365"/>
    <w:rsid w:val="00C868E8"/>
    <w:rsid w:val="00CB5ACC"/>
    <w:rsid w:val="00CC1C0C"/>
    <w:rsid w:val="00CC32B9"/>
    <w:rsid w:val="00CD5AEE"/>
    <w:rsid w:val="00CD6879"/>
    <w:rsid w:val="00CE408B"/>
    <w:rsid w:val="00CE5211"/>
    <w:rsid w:val="00CF73A4"/>
    <w:rsid w:val="00D11773"/>
    <w:rsid w:val="00D31D50"/>
    <w:rsid w:val="00D36F25"/>
    <w:rsid w:val="00D455C6"/>
    <w:rsid w:val="00D72A68"/>
    <w:rsid w:val="00D81782"/>
    <w:rsid w:val="00D81B2D"/>
    <w:rsid w:val="00D92631"/>
    <w:rsid w:val="00D96DD5"/>
    <w:rsid w:val="00DA330A"/>
    <w:rsid w:val="00DA6B0C"/>
    <w:rsid w:val="00DD376E"/>
    <w:rsid w:val="00DE6A1E"/>
    <w:rsid w:val="00DE7D1F"/>
    <w:rsid w:val="00DF1B2C"/>
    <w:rsid w:val="00DF4280"/>
    <w:rsid w:val="00E069B7"/>
    <w:rsid w:val="00E11143"/>
    <w:rsid w:val="00E13AAD"/>
    <w:rsid w:val="00E62589"/>
    <w:rsid w:val="00E64500"/>
    <w:rsid w:val="00E64C55"/>
    <w:rsid w:val="00E7144C"/>
    <w:rsid w:val="00E74652"/>
    <w:rsid w:val="00E82FFE"/>
    <w:rsid w:val="00E90000"/>
    <w:rsid w:val="00EE6A00"/>
    <w:rsid w:val="00F264B2"/>
    <w:rsid w:val="00FD1412"/>
    <w:rsid w:val="00FD19C5"/>
    <w:rsid w:val="00FD527A"/>
    <w:rsid w:val="00FE536F"/>
    <w:rsid w:val="01F65F01"/>
    <w:rsid w:val="02D235BD"/>
    <w:rsid w:val="02EB13F9"/>
    <w:rsid w:val="04DE70C3"/>
    <w:rsid w:val="05010ECC"/>
    <w:rsid w:val="08422027"/>
    <w:rsid w:val="0B995C9E"/>
    <w:rsid w:val="0CC86468"/>
    <w:rsid w:val="0CD35D77"/>
    <w:rsid w:val="0D3817A9"/>
    <w:rsid w:val="0E887547"/>
    <w:rsid w:val="10390E97"/>
    <w:rsid w:val="117B708F"/>
    <w:rsid w:val="13117FC7"/>
    <w:rsid w:val="1AD36308"/>
    <w:rsid w:val="1B560944"/>
    <w:rsid w:val="1E7111E1"/>
    <w:rsid w:val="1EC317E0"/>
    <w:rsid w:val="1FFB1873"/>
    <w:rsid w:val="20973F90"/>
    <w:rsid w:val="20C756BC"/>
    <w:rsid w:val="21962CA9"/>
    <w:rsid w:val="24B4241B"/>
    <w:rsid w:val="266671D3"/>
    <w:rsid w:val="26BE62BF"/>
    <w:rsid w:val="294B1CAB"/>
    <w:rsid w:val="2C814BBF"/>
    <w:rsid w:val="2DF5490E"/>
    <w:rsid w:val="2E3F0CF5"/>
    <w:rsid w:val="2E9D0AF2"/>
    <w:rsid w:val="34D55CFA"/>
    <w:rsid w:val="37041032"/>
    <w:rsid w:val="375173E4"/>
    <w:rsid w:val="39333FBF"/>
    <w:rsid w:val="3B4E0E3D"/>
    <w:rsid w:val="3E227DDA"/>
    <w:rsid w:val="40562B06"/>
    <w:rsid w:val="458D558C"/>
    <w:rsid w:val="468E4A32"/>
    <w:rsid w:val="46E01EB2"/>
    <w:rsid w:val="4D3F43BC"/>
    <w:rsid w:val="4DE35C0C"/>
    <w:rsid w:val="4E1C11B8"/>
    <w:rsid w:val="4F4F6409"/>
    <w:rsid w:val="50787170"/>
    <w:rsid w:val="50FB2AF2"/>
    <w:rsid w:val="540C468D"/>
    <w:rsid w:val="5482320C"/>
    <w:rsid w:val="56354EFD"/>
    <w:rsid w:val="57E40216"/>
    <w:rsid w:val="58225C9E"/>
    <w:rsid w:val="584D0ED4"/>
    <w:rsid w:val="588D23F9"/>
    <w:rsid w:val="5A072FFD"/>
    <w:rsid w:val="5CEF3F09"/>
    <w:rsid w:val="5E05501F"/>
    <w:rsid w:val="5ED31DDC"/>
    <w:rsid w:val="61760846"/>
    <w:rsid w:val="61833529"/>
    <w:rsid w:val="63FB0C7C"/>
    <w:rsid w:val="66717D01"/>
    <w:rsid w:val="6A8F4AB7"/>
    <w:rsid w:val="6BAB63A2"/>
    <w:rsid w:val="6D7F3D69"/>
    <w:rsid w:val="6F88159F"/>
    <w:rsid w:val="6FF641BC"/>
    <w:rsid w:val="71DD4B3A"/>
    <w:rsid w:val="7567123E"/>
    <w:rsid w:val="7B5B022E"/>
    <w:rsid w:val="7B626472"/>
    <w:rsid w:val="7E2838D4"/>
    <w:rsid w:val="7EB02932"/>
    <w:rsid w:val="7F9E65AE"/>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nhideWhenUsed="0" w:uiPriority="99" w:semiHidden="0" w:name="heading 5"/>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qFormat="1" w:unhideWhenUsed="0" w:uiPriority="99" w:name="footnote reference"/>
    <w:lsdException w:qFormat="1" w:unhideWhenUsed="0" w:uiPriority="99"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semiHidden="0"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99" w:semiHidden="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99" w:semiHidden="0" w:name="Emphasis"/>
    <w:lsdException w:qFormat="1" w:unhideWhenUsed="0" w:uiPriority="99"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paragraph" w:styleId="2">
    <w:name w:val="heading 1"/>
    <w:basedOn w:val="1"/>
    <w:next w:val="1"/>
    <w:link w:val="34"/>
    <w:qFormat/>
    <w:uiPriority w:val="99"/>
    <w:pPr>
      <w:keepNext/>
      <w:keepLines/>
      <w:widowControl w:val="0"/>
      <w:adjustRightInd/>
      <w:snapToGrid/>
      <w:spacing w:before="340" w:after="330" w:line="576" w:lineRule="auto"/>
      <w:jc w:val="both"/>
      <w:outlineLvl w:val="0"/>
    </w:pPr>
    <w:rPr>
      <w:rFonts w:ascii="Times New Roman" w:hAnsi="Times New Roman" w:eastAsia="Arial Unicode MS"/>
      <w:b/>
      <w:bCs/>
      <w:kern w:val="44"/>
      <w:sz w:val="44"/>
      <w:szCs w:val="44"/>
    </w:rPr>
  </w:style>
  <w:style w:type="paragraph" w:styleId="3">
    <w:name w:val="heading 2"/>
    <w:basedOn w:val="1"/>
    <w:next w:val="1"/>
    <w:link w:val="35"/>
    <w:qFormat/>
    <w:uiPriority w:val="99"/>
    <w:pPr>
      <w:keepNext/>
      <w:keepLines/>
      <w:widowControl w:val="0"/>
      <w:adjustRightInd/>
      <w:snapToGrid/>
      <w:spacing w:before="260" w:after="260" w:line="415" w:lineRule="auto"/>
      <w:jc w:val="both"/>
      <w:outlineLvl w:val="1"/>
    </w:pPr>
    <w:rPr>
      <w:rFonts w:ascii="Arial" w:hAnsi="Arial" w:eastAsia="黑体"/>
      <w:b/>
      <w:bCs/>
      <w:kern w:val="2"/>
      <w:sz w:val="32"/>
      <w:szCs w:val="32"/>
    </w:rPr>
  </w:style>
  <w:style w:type="paragraph" w:styleId="4">
    <w:name w:val="heading 3"/>
    <w:basedOn w:val="1"/>
    <w:next w:val="1"/>
    <w:link w:val="36"/>
    <w:qFormat/>
    <w:uiPriority w:val="99"/>
    <w:pPr>
      <w:keepNext/>
      <w:keepLines/>
      <w:widowControl w:val="0"/>
      <w:adjustRightInd/>
      <w:snapToGrid/>
      <w:spacing w:after="0"/>
      <w:jc w:val="center"/>
      <w:outlineLvl w:val="2"/>
    </w:pPr>
    <w:rPr>
      <w:rFonts w:ascii="Times New Roman" w:hAnsi="Times New Roman" w:eastAsia="黑体"/>
      <w:b/>
      <w:bCs/>
      <w:kern w:val="2"/>
      <w:sz w:val="44"/>
      <w:szCs w:val="44"/>
    </w:rPr>
  </w:style>
  <w:style w:type="paragraph" w:styleId="5">
    <w:name w:val="heading 5"/>
    <w:basedOn w:val="1"/>
    <w:next w:val="1"/>
    <w:link w:val="37"/>
    <w:qFormat/>
    <w:uiPriority w:val="99"/>
    <w:pPr>
      <w:keepNext/>
      <w:keepLines/>
      <w:widowControl w:val="0"/>
      <w:adjustRightInd/>
      <w:snapToGrid/>
      <w:spacing w:before="280" w:after="290" w:line="376" w:lineRule="auto"/>
      <w:jc w:val="both"/>
      <w:outlineLvl w:val="4"/>
    </w:pPr>
    <w:rPr>
      <w:rFonts w:ascii="Times New Roman" w:hAnsi="Times New Roman" w:eastAsia="宋体"/>
      <w:b/>
      <w:bCs/>
      <w:kern w:val="2"/>
      <w:sz w:val="28"/>
      <w:szCs w:val="28"/>
    </w:rPr>
  </w:style>
  <w:style w:type="character" w:default="1" w:styleId="18">
    <w:name w:val="Default Paragraph Font"/>
    <w:unhideWhenUsed/>
    <w:qFormat/>
    <w:uiPriority w:val="1"/>
  </w:style>
  <w:style w:type="table" w:default="1" w:styleId="25">
    <w:name w:val="Normal Table"/>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46"/>
    <w:semiHidden/>
    <w:qFormat/>
    <w:uiPriority w:val="99"/>
    <w:rPr>
      <w:b/>
      <w:bCs/>
    </w:rPr>
  </w:style>
  <w:style w:type="paragraph" w:styleId="7">
    <w:name w:val="annotation text"/>
    <w:basedOn w:val="1"/>
    <w:link w:val="45"/>
    <w:semiHidden/>
    <w:qFormat/>
    <w:uiPriority w:val="99"/>
    <w:pPr>
      <w:widowControl w:val="0"/>
      <w:adjustRightInd/>
      <w:snapToGrid/>
      <w:spacing w:after="0"/>
    </w:pPr>
    <w:rPr>
      <w:rFonts w:ascii="Times New Roman" w:hAnsi="Times New Roman" w:eastAsia="宋体"/>
      <w:kern w:val="2"/>
      <w:sz w:val="21"/>
      <w:szCs w:val="24"/>
    </w:rPr>
  </w:style>
  <w:style w:type="paragraph" w:styleId="8">
    <w:name w:val="Document Map"/>
    <w:basedOn w:val="1"/>
    <w:link w:val="44"/>
    <w:semiHidden/>
    <w:qFormat/>
    <w:uiPriority w:val="99"/>
    <w:pPr>
      <w:widowControl w:val="0"/>
      <w:shd w:val="clear" w:color="auto" w:fill="000080"/>
      <w:adjustRightInd/>
      <w:snapToGrid/>
      <w:spacing w:after="0"/>
      <w:jc w:val="both"/>
    </w:pPr>
    <w:rPr>
      <w:rFonts w:ascii="Times New Roman" w:hAnsi="Times New Roman" w:eastAsia="宋体"/>
      <w:kern w:val="2"/>
      <w:sz w:val="21"/>
      <w:szCs w:val="24"/>
    </w:rPr>
  </w:style>
  <w:style w:type="paragraph" w:styleId="9">
    <w:name w:val="Body Text"/>
    <w:basedOn w:val="1"/>
    <w:next w:val="1"/>
    <w:link w:val="40"/>
    <w:qFormat/>
    <w:uiPriority w:val="99"/>
    <w:pPr>
      <w:adjustRightInd/>
      <w:snapToGrid/>
      <w:spacing w:after="0"/>
      <w:jc w:val="both"/>
    </w:pPr>
    <w:rPr>
      <w:rFonts w:ascii="Times New Roman" w:hAnsi="Times New Roman" w:eastAsia="仿宋_GB2312"/>
      <w:color w:val="000000"/>
      <w:kern w:val="2"/>
      <w:sz w:val="28"/>
      <w:szCs w:val="20"/>
    </w:rPr>
  </w:style>
  <w:style w:type="paragraph" w:styleId="10">
    <w:name w:val="Body Text Indent"/>
    <w:basedOn w:val="1"/>
    <w:next w:val="1"/>
    <w:link w:val="41"/>
    <w:qFormat/>
    <w:uiPriority w:val="99"/>
    <w:pPr>
      <w:adjustRightInd/>
      <w:snapToGrid/>
      <w:spacing w:after="0"/>
      <w:ind w:firstLine="420"/>
      <w:jc w:val="both"/>
    </w:pPr>
    <w:rPr>
      <w:rFonts w:ascii="Times New Roman" w:hAnsi="Times New Roman" w:eastAsia="宋体"/>
      <w:color w:val="000000"/>
      <w:kern w:val="2"/>
      <w:sz w:val="21"/>
      <w:szCs w:val="20"/>
    </w:rPr>
  </w:style>
  <w:style w:type="paragraph" w:styleId="11">
    <w:name w:val="Date"/>
    <w:basedOn w:val="1"/>
    <w:next w:val="1"/>
    <w:link w:val="38"/>
    <w:qFormat/>
    <w:uiPriority w:val="99"/>
    <w:pPr>
      <w:widowControl w:val="0"/>
      <w:adjustRightInd/>
      <w:snapToGrid/>
      <w:spacing w:after="0"/>
      <w:ind w:left="100" w:leftChars="2500"/>
      <w:jc w:val="both"/>
    </w:pPr>
    <w:rPr>
      <w:rFonts w:ascii="Times New Roman" w:hAnsi="Times New Roman" w:eastAsia="宋体"/>
      <w:kern w:val="2"/>
      <w:sz w:val="28"/>
      <w:szCs w:val="24"/>
    </w:rPr>
  </w:style>
  <w:style w:type="paragraph" w:styleId="12">
    <w:name w:val="Body Text Indent 2"/>
    <w:basedOn w:val="1"/>
    <w:link w:val="48"/>
    <w:qFormat/>
    <w:uiPriority w:val="99"/>
    <w:pPr>
      <w:widowControl w:val="0"/>
      <w:adjustRightInd/>
      <w:snapToGrid/>
      <w:spacing w:after="0" w:line="400" w:lineRule="exact"/>
      <w:ind w:firstLine="480" w:firstLineChars="200"/>
      <w:jc w:val="both"/>
    </w:pPr>
    <w:rPr>
      <w:rFonts w:ascii="Arial" w:hAnsi="Arial" w:eastAsia="宋体" w:cs="Verdana"/>
      <w:b/>
      <w:sz w:val="24"/>
      <w:szCs w:val="24"/>
      <w:lang w:eastAsia="en-US"/>
    </w:rPr>
  </w:style>
  <w:style w:type="paragraph" w:styleId="13">
    <w:name w:val="Balloon Text"/>
    <w:basedOn w:val="1"/>
    <w:link w:val="42"/>
    <w:semiHidden/>
    <w:qFormat/>
    <w:uiPriority w:val="99"/>
    <w:pPr>
      <w:widowControl w:val="0"/>
      <w:adjustRightInd/>
      <w:snapToGrid/>
      <w:spacing w:after="0"/>
      <w:jc w:val="both"/>
    </w:pPr>
    <w:rPr>
      <w:rFonts w:ascii="Times New Roman" w:hAnsi="Times New Roman" w:eastAsia="宋体"/>
      <w:kern w:val="2"/>
      <w:sz w:val="18"/>
      <w:szCs w:val="18"/>
    </w:rPr>
  </w:style>
  <w:style w:type="paragraph" w:styleId="14">
    <w:name w:val="footer"/>
    <w:basedOn w:val="1"/>
    <w:link w:val="43"/>
    <w:qFormat/>
    <w:uiPriority w:val="99"/>
    <w:pPr>
      <w:widowControl w:val="0"/>
      <w:tabs>
        <w:tab w:val="center" w:pos="4153"/>
        <w:tab w:val="right" w:pos="8306"/>
      </w:tabs>
      <w:adjustRightInd/>
      <w:spacing w:after="0"/>
    </w:pPr>
    <w:rPr>
      <w:rFonts w:ascii="Times New Roman" w:hAnsi="Times New Roman" w:eastAsia="宋体"/>
      <w:kern w:val="2"/>
      <w:sz w:val="18"/>
      <w:szCs w:val="18"/>
    </w:rPr>
  </w:style>
  <w:style w:type="paragraph" w:styleId="15">
    <w:name w:val="header"/>
    <w:basedOn w:val="1"/>
    <w:link w:val="39"/>
    <w:qFormat/>
    <w:uiPriority w:val="99"/>
    <w:pPr>
      <w:widowControl w:val="0"/>
      <w:pBdr>
        <w:bottom w:val="single" w:color="auto" w:sz="6" w:space="1"/>
      </w:pBdr>
      <w:tabs>
        <w:tab w:val="center" w:pos="4153"/>
        <w:tab w:val="right" w:pos="8306"/>
      </w:tabs>
      <w:adjustRightInd/>
      <w:spacing w:after="0"/>
      <w:jc w:val="center"/>
    </w:pPr>
    <w:rPr>
      <w:rFonts w:ascii="Times New Roman" w:hAnsi="Times New Roman" w:eastAsia="宋体"/>
      <w:kern w:val="2"/>
      <w:sz w:val="18"/>
      <w:szCs w:val="18"/>
    </w:rPr>
  </w:style>
  <w:style w:type="paragraph" w:styleId="16">
    <w:name w:val="footnote text"/>
    <w:basedOn w:val="1"/>
    <w:link w:val="50"/>
    <w:semiHidden/>
    <w:qFormat/>
    <w:uiPriority w:val="99"/>
    <w:pPr>
      <w:widowControl w:val="0"/>
      <w:adjustRightInd/>
      <w:spacing w:after="0"/>
    </w:pPr>
    <w:rPr>
      <w:rFonts w:ascii="Times New Roman" w:hAnsi="Times New Roman" w:eastAsia="宋体"/>
      <w:kern w:val="2"/>
      <w:sz w:val="18"/>
      <w:szCs w:val="18"/>
    </w:rPr>
  </w:style>
  <w:style w:type="paragraph" w:styleId="17">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19">
    <w:name w:val="page number"/>
    <w:qFormat/>
    <w:uiPriority w:val="99"/>
    <w:rPr>
      <w:rFonts w:ascii="Arial" w:hAnsi="Arial" w:cs="Verdana"/>
      <w:b/>
      <w:sz w:val="28"/>
      <w:szCs w:val="28"/>
      <w:lang w:val="en-US" w:eastAsia="en-US" w:bidi="ar-SA"/>
    </w:rPr>
  </w:style>
  <w:style w:type="character" w:styleId="20">
    <w:name w:val="FollowedHyperlink"/>
    <w:qFormat/>
    <w:uiPriority w:val="99"/>
    <w:rPr>
      <w:rFonts w:ascii="Arial" w:hAnsi="Arial" w:cs="Verdana"/>
      <w:b/>
      <w:color w:val="800080"/>
      <w:sz w:val="28"/>
      <w:szCs w:val="28"/>
      <w:u w:val="single"/>
      <w:lang w:val="en-US" w:eastAsia="en-US" w:bidi="ar-SA"/>
    </w:rPr>
  </w:style>
  <w:style w:type="character" w:styleId="21">
    <w:name w:val="Emphasis"/>
    <w:qFormat/>
    <w:uiPriority w:val="99"/>
    <w:rPr>
      <w:rFonts w:ascii="Arial" w:hAnsi="Arial" w:cs="Verdana"/>
      <w:b/>
      <w:color w:val="CC0000"/>
      <w:sz w:val="28"/>
      <w:szCs w:val="28"/>
      <w:lang w:val="en-US" w:eastAsia="en-US" w:bidi="ar-SA"/>
    </w:rPr>
  </w:style>
  <w:style w:type="character" w:styleId="22">
    <w:name w:val="Hyperlink"/>
    <w:qFormat/>
    <w:uiPriority w:val="99"/>
    <w:rPr>
      <w:rFonts w:ascii="Arial" w:hAnsi="Arial" w:cs="Verdana"/>
      <w:b/>
      <w:color w:val="000000"/>
      <w:sz w:val="28"/>
      <w:szCs w:val="28"/>
      <w:u w:val="none"/>
      <w:lang w:val="en-US" w:eastAsia="en-US" w:bidi="ar-SA"/>
    </w:rPr>
  </w:style>
  <w:style w:type="character" w:styleId="23">
    <w:name w:val="annotation reference"/>
    <w:semiHidden/>
    <w:qFormat/>
    <w:uiPriority w:val="99"/>
    <w:rPr>
      <w:rFonts w:ascii="Arial" w:hAnsi="Arial" w:cs="Verdana"/>
      <w:b/>
      <w:sz w:val="21"/>
      <w:szCs w:val="21"/>
      <w:lang w:val="en-US" w:eastAsia="en-US" w:bidi="ar-SA"/>
    </w:rPr>
  </w:style>
  <w:style w:type="character" w:styleId="24">
    <w:name w:val="footnote reference"/>
    <w:semiHidden/>
    <w:qFormat/>
    <w:uiPriority w:val="99"/>
    <w:rPr>
      <w:rFonts w:ascii="Arial" w:hAnsi="Arial" w:cs="Verdana"/>
      <w:b/>
      <w:sz w:val="28"/>
      <w:szCs w:val="28"/>
      <w:vertAlign w:val="superscript"/>
      <w:lang w:val="en-US" w:eastAsia="en-US" w:bidi="ar-SA"/>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7">
    <w:name w:val="Char Char Char Char"/>
    <w:basedOn w:val="1"/>
    <w:qFormat/>
    <w:uiPriority w:val="99"/>
    <w:pPr>
      <w:widowControl w:val="0"/>
      <w:tabs>
        <w:tab w:val="left" w:pos="900"/>
      </w:tabs>
      <w:adjustRightInd/>
      <w:snapToGrid/>
      <w:spacing w:before="312" w:after="312" w:line="360" w:lineRule="auto"/>
      <w:ind w:left="900" w:hanging="360"/>
      <w:jc w:val="both"/>
    </w:pPr>
    <w:rPr>
      <w:rFonts w:ascii="Times New Roman" w:hAnsi="Times New Roman" w:eastAsia="宋体"/>
      <w:kern w:val="2"/>
      <w:sz w:val="24"/>
      <w:szCs w:val="24"/>
    </w:rPr>
  </w:style>
  <w:style w:type="paragraph" w:customStyle="1" w:styleId="28">
    <w:name w:val="Char Char Char Char Char Char Char Char Char Char Char Char"/>
    <w:basedOn w:val="1"/>
    <w:qFormat/>
    <w:uiPriority w:val="99"/>
    <w:pPr>
      <w:adjustRightInd/>
      <w:snapToGrid/>
      <w:spacing w:after="160" w:line="240" w:lineRule="exact"/>
    </w:pPr>
    <w:rPr>
      <w:rFonts w:ascii="Verdana" w:hAnsi="Verdana" w:eastAsia="MS Mincho" w:cs="Verdana"/>
      <w:sz w:val="20"/>
      <w:szCs w:val="20"/>
      <w:lang w:eastAsia="en-US"/>
    </w:rPr>
  </w:style>
  <w:style w:type="paragraph" w:customStyle="1" w:styleId="29">
    <w:name w:val="Char Char Char Char Char Char Char"/>
    <w:basedOn w:val="1"/>
    <w:qFormat/>
    <w:uiPriority w:val="99"/>
    <w:pPr>
      <w:adjustRightInd/>
      <w:snapToGrid/>
      <w:spacing w:after="160" w:line="240" w:lineRule="exact"/>
    </w:pPr>
    <w:rPr>
      <w:rFonts w:eastAsia="宋体"/>
      <w:sz w:val="20"/>
      <w:szCs w:val="20"/>
      <w:lang w:eastAsia="en-US"/>
    </w:rPr>
  </w:style>
  <w:style w:type="paragraph" w:customStyle="1" w:styleId="30">
    <w:name w:val="Char"/>
    <w:basedOn w:val="1"/>
    <w:qFormat/>
    <w:uiPriority w:val="99"/>
    <w:pPr>
      <w:widowControl w:val="0"/>
      <w:adjustRightInd/>
      <w:snapToGrid/>
      <w:spacing w:after="0" w:line="360" w:lineRule="auto"/>
      <w:ind w:firstLine="480" w:firstLineChars="200"/>
      <w:jc w:val="both"/>
    </w:pPr>
    <w:rPr>
      <w:rFonts w:ascii="宋体" w:hAnsi="宋体" w:eastAsia="楷体_GB2312"/>
      <w:kern w:val="2"/>
      <w:sz w:val="24"/>
      <w:szCs w:val="21"/>
    </w:rPr>
  </w:style>
  <w:style w:type="paragraph" w:customStyle="1" w:styleId="31">
    <w:name w:val="Char Char"/>
    <w:basedOn w:val="1"/>
    <w:qFormat/>
    <w:uiPriority w:val="99"/>
    <w:pPr>
      <w:widowControl w:val="0"/>
      <w:adjustRightInd/>
      <w:snapToGrid/>
      <w:spacing w:after="0"/>
      <w:jc w:val="both"/>
    </w:pPr>
    <w:rPr>
      <w:rFonts w:eastAsia="宋体"/>
      <w:kern w:val="2"/>
      <w:sz w:val="24"/>
      <w:szCs w:val="20"/>
    </w:rPr>
  </w:style>
  <w:style w:type="paragraph" w:customStyle="1" w:styleId="32">
    <w:name w:val="湘潭大学第八届大学生研究性学习和创新性实验计划项目学院推荐名额分配表"/>
    <w:basedOn w:val="1"/>
    <w:qFormat/>
    <w:uiPriority w:val="99"/>
    <w:pPr>
      <w:adjustRightInd/>
      <w:snapToGrid/>
      <w:spacing w:after="160" w:line="240" w:lineRule="exact"/>
      <w:jc w:val="center"/>
    </w:pPr>
    <w:rPr>
      <w:rFonts w:ascii="Arial" w:hAnsi="Arial" w:cs="Verdana"/>
      <w:b/>
      <w:sz w:val="28"/>
      <w:szCs w:val="28"/>
      <w:lang w:eastAsia="en-US"/>
    </w:rPr>
  </w:style>
  <w:style w:type="paragraph" w:customStyle="1" w:styleId="33">
    <w:name w:val="Char Char Char Char Char Char Char Char"/>
    <w:basedOn w:val="1"/>
    <w:qFormat/>
    <w:uiPriority w:val="99"/>
    <w:pPr>
      <w:widowControl w:val="0"/>
      <w:adjustRightInd/>
      <w:snapToGrid/>
      <w:spacing w:after="0"/>
      <w:jc w:val="both"/>
    </w:pPr>
    <w:rPr>
      <w:rFonts w:eastAsia="宋体"/>
      <w:kern w:val="2"/>
      <w:sz w:val="24"/>
      <w:szCs w:val="20"/>
    </w:rPr>
  </w:style>
  <w:style w:type="character" w:customStyle="1" w:styleId="34">
    <w:name w:val="标题 1 Char"/>
    <w:link w:val="2"/>
    <w:qFormat/>
    <w:locked/>
    <w:uiPriority w:val="99"/>
    <w:rPr>
      <w:rFonts w:ascii="Times New Roman" w:hAnsi="Times New Roman" w:eastAsia="Arial Unicode MS" w:cs="Times New Roman"/>
      <w:b/>
      <w:bCs/>
      <w:kern w:val="44"/>
      <w:sz w:val="44"/>
      <w:szCs w:val="44"/>
    </w:rPr>
  </w:style>
  <w:style w:type="character" w:customStyle="1" w:styleId="35">
    <w:name w:val="标题 2 Char"/>
    <w:link w:val="3"/>
    <w:qFormat/>
    <w:locked/>
    <w:uiPriority w:val="99"/>
    <w:rPr>
      <w:rFonts w:ascii="Arial" w:hAnsi="Arial" w:eastAsia="黑体" w:cs="Times New Roman"/>
      <w:b/>
      <w:bCs/>
      <w:kern w:val="2"/>
      <w:sz w:val="32"/>
      <w:szCs w:val="32"/>
    </w:rPr>
  </w:style>
  <w:style w:type="character" w:customStyle="1" w:styleId="36">
    <w:name w:val="标题 3 Char"/>
    <w:link w:val="4"/>
    <w:qFormat/>
    <w:locked/>
    <w:uiPriority w:val="99"/>
    <w:rPr>
      <w:rFonts w:ascii="Times New Roman" w:hAnsi="Times New Roman" w:eastAsia="黑体" w:cs="Times New Roman"/>
      <w:b/>
      <w:bCs/>
      <w:kern w:val="2"/>
      <w:sz w:val="44"/>
      <w:szCs w:val="44"/>
    </w:rPr>
  </w:style>
  <w:style w:type="character" w:customStyle="1" w:styleId="37">
    <w:name w:val="标题 5 Char"/>
    <w:link w:val="5"/>
    <w:qFormat/>
    <w:locked/>
    <w:uiPriority w:val="99"/>
    <w:rPr>
      <w:rFonts w:ascii="Times New Roman" w:hAnsi="Times New Roman" w:eastAsia="宋体" w:cs="Times New Roman"/>
      <w:b/>
      <w:bCs/>
      <w:kern w:val="2"/>
      <w:sz w:val="28"/>
      <w:szCs w:val="28"/>
    </w:rPr>
  </w:style>
  <w:style w:type="character" w:customStyle="1" w:styleId="38">
    <w:name w:val="日期 Char"/>
    <w:link w:val="11"/>
    <w:qFormat/>
    <w:locked/>
    <w:uiPriority w:val="99"/>
    <w:rPr>
      <w:rFonts w:ascii="Times New Roman" w:hAnsi="Times New Roman" w:eastAsia="宋体" w:cs="Times New Roman"/>
      <w:kern w:val="2"/>
      <w:sz w:val="24"/>
      <w:szCs w:val="24"/>
    </w:rPr>
  </w:style>
  <w:style w:type="character" w:customStyle="1" w:styleId="39">
    <w:name w:val="页眉 Char"/>
    <w:link w:val="15"/>
    <w:qFormat/>
    <w:locked/>
    <w:uiPriority w:val="99"/>
    <w:rPr>
      <w:rFonts w:ascii="Times New Roman" w:hAnsi="Times New Roman" w:eastAsia="宋体" w:cs="Times New Roman"/>
      <w:kern w:val="2"/>
      <w:sz w:val="18"/>
      <w:szCs w:val="18"/>
    </w:rPr>
  </w:style>
  <w:style w:type="character" w:customStyle="1" w:styleId="40">
    <w:name w:val="正文文本 Char"/>
    <w:link w:val="9"/>
    <w:qFormat/>
    <w:locked/>
    <w:uiPriority w:val="99"/>
    <w:rPr>
      <w:rFonts w:ascii="Times New Roman" w:hAnsi="Times New Roman" w:eastAsia="仿宋_GB2312" w:cs="Times New Roman"/>
      <w:color w:val="000000"/>
      <w:kern w:val="2"/>
      <w:sz w:val="20"/>
      <w:szCs w:val="20"/>
    </w:rPr>
  </w:style>
  <w:style w:type="character" w:customStyle="1" w:styleId="41">
    <w:name w:val="正文文本缩进 Char"/>
    <w:link w:val="10"/>
    <w:qFormat/>
    <w:locked/>
    <w:uiPriority w:val="99"/>
    <w:rPr>
      <w:rFonts w:ascii="Times New Roman" w:hAnsi="Times New Roman" w:eastAsia="宋体" w:cs="Times New Roman"/>
      <w:color w:val="000000"/>
      <w:kern w:val="2"/>
      <w:sz w:val="20"/>
      <w:szCs w:val="20"/>
    </w:rPr>
  </w:style>
  <w:style w:type="character" w:customStyle="1" w:styleId="42">
    <w:name w:val="批注框文本 Char"/>
    <w:link w:val="13"/>
    <w:semiHidden/>
    <w:qFormat/>
    <w:locked/>
    <w:uiPriority w:val="99"/>
    <w:rPr>
      <w:rFonts w:ascii="Times New Roman" w:hAnsi="Times New Roman" w:eastAsia="宋体" w:cs="Times New Roman"/>
      <w:kern w:val="2"/>
      <w:sz w:val="18"/>
      <w:szCs w:val="18"/>
    </w:rPr>
  </w:style>
  <w:style w:type="character" w:customStyle="1" w:styleId="43">
    <w:name w:val="页脚 Char"/>
    <w:link w:val="14"/>
    <w:qFormat/>
    <w:locked/>
    <w:uiPriority w:val="99"/>
    <w:rPr>
      <w:rFonts w:ascii="Times New Roman" w:hAnsi="Times New Roman" w:eastAsia="宋体" w:cs="Times New Roman"/>
      <w:kern w:val="2"/>
      <w:sz w:val="18"/>
      <w:szCs w:val="18"/>
    </w:rPr>
  </w:style>
  <w:style w:type="character" w:customStyle="1" w:styleId="44">
    <w:name w:val="文档结构图 Char"/>
    <w:link w:val="8"/>
    <w:semiHidden/>
    <w:qFormat/>
    <w:locked/>
    <w:uiPriority w:val="99"/>
    <w:rPr>
      <w:rFonts w:ascii="Times New Roman" w:hAnsi="Times New Roman" w:eastAsia="宋体" w:cs="Times New Roman"/>
      <w:kern w:val="2"/>
      <w:sz w:val="24"/>
      <w:szCs w:val="24"/>
      <w:shd w:val="clear" w:color="auto" w:fill="000080"/>
    </w:rPr>
  </w:style>
  <w:style w:type="character" w:customStyle="1" w:styleId="45">
    <w:name w:val="批注文字 Char"/>
    <w:link w:val="7"/>
    <w:semiHidden/>
    <w:qFormat/>
    <w:locked/>
    <w:uiPriority w:val="99"/>
    <w:rPr>
      <w:rFonts w:ascii="Times New Roman" w:hAnsi="Times New Roman" w:eastAsia="宋体" w:cs="Times New Roman"/>
      <w:kern w:val="2"/>
      <w:sz w:val="24"/>
      <w:szCs w:val="24"/>
    </w:rPr>
  </w:style>
  <w:style w:type="character" w:customStyle="1" w:styleId="46">
    <w:name w:val="批注主题 Char"/>
    <w:link w:val="6"/>
    <w:semiHidden/>
    <w:qFormat/>
    <w:locked/>
    <w:uiPriority w:val="99"/>
    <w:rPr>
      <w:rFonts w:ascii="Times New Roman" w:hAnsi="Times New Roman" w:eastAsia="宋体" w:cs="Times New Roman"/>
      <w:b/>
      <w:bCs/>
      <w:kern w:val="2"/>
      <w:sz w:val="24"/>
      <w:szCs w:val="24"/>
    </w:rPr>
  </w:style>
  <w:style w:type="character" w:customStyle="1" w:styleId="47">
    <w:name w:val="正文文本缩进 2 Char"/>
    <w:qFormat/>
    <w:locked/>
    <w:uiPriority w:val="99"/>
    <w:rPr>
      <w:rFonts w:ascii="Arial" w:hAnsi="Arial" w:eastAsia="宋体" w:cs="Verdana"/>
      <w:b/>
      <w:sz w:val="24"/>
      <w:szCs w:val="24"/>
      <w:lang w:eastAsia="en-US"/>
    </w:rPr>
  </w:style>
  <w:style w:type="character" w:customStyle="1" w:styleId="48">
    <w:name w:val="正文文本缩进 2 Char2"/>
    <w:link w:val="12"/>
    <w:semiHidden/>
    <w:qFormat/>
    <w:uiPriority w:val="99"/>
    <w:rPr>
      <w:rFonts w:ascii="Tahoma" w:hAnsi="Tahoma"/>
      <w:kern w:val="0"/>
      <w:sz w:val="22"/>
    </w:rPr>
  </w:style>
  <w:style w:type="character" w:customStyle="1" w:styleId="49">
    <w:name w:val="正文文本缩进 2 Char1"/>
    <w:semiHidden/>
    <w:qFormat/>
    <w:uiPriority w:val="99"/>
    <w:rPr>
      <w:rFonts w:ascii="Tahoma" w:hAnsi="Tahoma" w:cs="Times New Roman"/>
    </w:rPr>
  </w:style>
  <w:style w:type="character" w:customStyle="1" w:styleId="50">
    <w:name w:val="脚注文本 Char"/>
    <w:link w:val="16"/>
    <w:semiHidden/>
    <w:qFormat/>
    <w:locked/>
    <w:uiPriority w:val="99"/>
    <w:rPr>
      <w:rFonts w:ascii="Times New Roman" w:hAnsi="Times New Roman" w:eastAsia="宋体" w:cs="Times New Roman"/>
      <w:kern w:val="2"/>
      <w:sz w:val="18"/>
      <w:szCs w:val="18"/>
    </w:rPr>
  </w:style>
  <w:style w:type="character" w:customStyle="1" w:styleId="51">
    <w:name w:val="font31"/>
    <w:qFormat/>
    <w:uiPriority w:val="0"/>
    <w:rPr>
      <w:rFonts w:hint="eastAsia" w:ascii="宋体" w:hAnsi="宋体" w:eastAsia="宋体" w:cs="宋体"/>
      <w:color w:val="000000"/>
      <w:sz w:val="20"/>
      <w:szCs w:val="20"/>
      <w:u w:val="none"/>
      <w:vertAlign w:val="subscript"/>
    </w:rPr>
  </w:style>
  <w:style w:type="character" w:customStyle="1" w:styleId="52">
    <w:name w:val="font51"/>
    <w:qFormat/>
    <w:uiPriority w:val="0"/>
    <w:rPr>
      <w:rFonts w:ascii="font-weight : 400" w:hAnsi="font-weight : 400" w:eastAsia="font-weight : 400" w:cs="font-weight : 400"/>
      <w:color w:val="000000"/>
      <w:sz w:val="20"/>
      <w:szCs w:val="20"/>
      <w:u w:val="none"/>
    </w:rPr>
  </w:style>
  <w:style w:type="character" w:customStyle="1" w:styleId="53">
    <w:name w:val="font21"/>
    <w:qFormat/>
    <w:uiPriority w:val="0"/>
    <w:rPr>
      <w:rFonts w:hint="eastAsia" w:ascii="宋体" w:hAnsi="宋体" w:eastAsia="宋体" w:cs="宋体"/>
      <w:color w:val="000000"/>
      <w:sz w:val="20"/>
      <w:szCs w:val="20"/>
      <w:u w:val="none"/>
      <w:vertAlign w:val="subscript"/>
    </w:rPr>
  </w:style>
  <w:style w:type="character" w:customStyle="1" w:styleId="54">
    <w:name w:val="font41"/>
    <w:qFormat/>
    <w:uiPriority w:val="0"/>
    <w:rPr>
      <w:rFonts w:hint="default" w:ascii="font-weight : 400" w:hAnsi="font-weight : 400" w:eastAsia="font-weight : 400" w:cs="font-weight : 400"/>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Pages>
  <Words>144</Words>
  <Characters>824</Characters>
  <Lines>6</Lines>
  <Paragraphs>1</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2017-12-12T00:44:00Z</dcterms:created>
  <dc:creator>Administrator</dc:creator>
  <cp:lastModifiedBy>我想上你</cp:lastModifiedBy>
  <dcterms:modified xsi:type="dcterms:W3CDTF">2018-03-13T18:15:56Z</dcterms:modified>
  <dc:title>附件4：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